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9C08" w14:textId="5D543F40" w:rsidR="00E13748" w:rsidRDefault="00DC55F0" w:rsidP="004F6BE4">
      <w:r>
        <w:rPr>
          <w:noProof/>
          <w:lang w:eastAsia="en-AU"/>
        </w:rPr>
        <mc:AlternateContent>
          <mc:Choice Requires="wps">
            <w:drawing>
              <wp:anchor distT="0" distB="0" distL="114300" distR="114300" simplePos="0" relativeHeight="251681792" behindDoc="1" locked="0" layoutInCell="1" allowOverlap="1" wp14:anchorId="5773649B" wp14:editId="59E8C3DD">
                <wp:simplePos x="0" y="0"/>
                <wp:positionH relativeFrom="margin">
                  <wp:align>right</wp:align>
                </wp:positionH>
                <wp:positionV relativeFrom="paragraph">
                  <wp:posOffset>2067636</wp:posOffset>
                </wp:positionV>
                <wp:extent cx="5892800" cy="4286250"/>
                <wp:effectExtent l="0" t="0" r="0" b="0"/>
                <wp:wrapTight wrapText="bothSides">
                  <wp:wrapPolygon edited="0">
                    <wp:start x="0" y="0"/>
                    <wp:lineTo x="0" y="21504"/>
                    <wp:lineTo x="21367" y="21504"/>
                    <wp:lineTo x="21367" y="0"/>
                    <wp:lineTo x="0" y="0"/>
                  </wp:wrapPolygon>
                </wp:wrapTight>
                <wp:docPr id="1898800551" name="Text Box 1898800551"/>
                <wp:cNvGraphicFramePr/>
                <a:graphic xmlns:a="http://schemas.openxmlformats.org/drawingml/2006/main">
                  <a:graphicData uri="http://schemas.microsoft.com/office/word/2010/wordprocessingShape">
                    <wps:wsp>
                      <wps:cNvSpPr txBox="1"/>
                      <wps:spPr>
                        <a:xfrm>
                          <a:off x="0" y="0"/>
                          <a:ext cx="5892800" cy="4286250"/>
                        </a:xfrm>
                        <a:prstGeom prst="rect">
                          <a:avLst/>
                        </a:prstGeom>
                        <a:noFill/>
                        <a:ln w="6350">
                          <a:noFill/>
                        </a:ln>
                      </wps:spPr>
                      <wps:txbx>
                        <w:txbxContent>
                          <w:p w14:paraId="7D8A9297" w14:textId="4792E0A0" w:rsidR="00DC55F0" w:rsidRDefault="00DC55F0" w:rsidP="00DC55F0">
                            <w:pPr>
                              <w:rPr>
                                <w:rFonts w:ascii="Acumin Pro Wide" w:hAnsi="Acumin Pro Wide"/>
                                <w:b/>
                                <w:bCs/>
                                <w:color w:val="003149"/>
                                <w:sz w:val="32"/>
                                <w:szCs w:val="32"/>
                                <w14:textOutline w14:w="9525" w14:cap="rnd" w14:cmpd="sng" w14:algn="ctr">
                                  <w14:solidFill>
                                    <w14:schemeClr w14:val="bg1"/>
                                  </w14:solidFill>
                                  <w14:prstDash w14:val="solid"/>
                                  <w14:bevel/>
                                </w14:textOutline>
                              </w:rPr>
                            </w:pPr>
                            <w:r>
                              <w:rPr>
                                <w:rFonts w:eastAsia="Arial Unicode MS" w:cs="Arial Unicode MS"/>
                                <w:b/>
                                <w:bCs/>
                                <w:color w:val="000000"/>
                                <w:sz w:val="72"/>
                                <w:szCs w:val="72"/>
                                <w:u w:color="000000"/>
                                <w:bdr w:val="nil"/>
                                <w:lang w:eastAsia="en-AU"/>
                                <w14:textOutline w14:w="12700" w14:cap="flat" w14:cmpd="sng" w14:algn="ctr">
                                  <w14:noFill/>
                                  <w14:prstDash w14:val="solid"/>
                                  <w14:miter w14:lim="400000"/>
                                </w14:textOutline>
                              </w:rPr>
                              <w:t xml:space="preserve">Intake Project Summary </w:t>
                            </w:r>
                          </w:p>
                          <w:p w14:paraId="22B82A96" w14:textId="5F6F93A0" w:rsidR="00DC55F0" w:rsidRDefault="00DC55F0" w:rsidP="00DC55F0">
                            <w:pPr>
                              <w:pStyle w:val="Title"/>
                              <w:keepLines/>
                              <w:pBdr>
                                <w:top w:val="nil"/>
                                <w:left w:val="nil"/>
                                <w:bottom w:val="nil"/>
                                <w:right w:val="nil"/>
                                <w:between w:val="nil"/>
                                <w:bar w:val="nil"/>
                              </w:pBdr>
                              <w:spacing w:after="120"/>
                              <w:contextualSpacing w:val="0"/>
                              <w:jc w:val="left"/>
                              <w:rPr>
                                <w:rFonts w:ascii="Helvetica" w:eastAsia="Arial Unicode MS" w:hAnsi="Helvetica" w:cs="Arial Unicode MS"/>
                                <w:b/>
                                <w:bCs/>
                                <w:color w:val="000000"/>
                                <w:spacing w:val="0"/>
                                <w:kern w:val="0"/>
                                <w:sz w:val="72"/>
                                <w:szCs w:val="72"/>
                                <w:u w:color="000000"/>
                                <w:bdr w:val="nil"/>
                                <w:lang w:eastAsia="en-AU"/>
                                <w14:textOutline w14:w="12700" w14:cap="flat" w14:cmpd="sng" w14:algn="ctr">
                                  <w14:noFill/>
                                  <w14:prstDash w14:val="solid"/>
                                  <w14:miter w14:lim="400000"/>
                                </w14:textOutline>
                              </w:rPr>
                            </w:pPr>
                            <w:r>
                              <w:rPr>
                                <w:rFonts w:ascii="Helvetica" w:eastAsia="Arial Unicode MS" w:hAnsi="Helvetica" w:cs="Arial Unicode MS"/>
                                <w:b/>
                                <w:bCs/>
                                <w:color w:val="000000"/>
                                <w:spacing w:val="0"/>
                                <w:kern w:val="0"/>
                                <w:sz w:val="72"/>
                                <w:szCs w:val="72"/>
                                <w:u w:color="000000"/>
                                <w:bdr w:val="nil"/>
                                <w:lang w:eastAsia="en-AU"/>
                                <w14:textOutline w14:w="12700" w14:cap="flat" w14:cmpd="sng" w14:algn="ctr">
                                  <w14:noFill/>
                                  <w14:prstDash w14:val="solid"/>
                                  <w14:miter w14:lim="400000"/>
                                </w14:textOutline>
                              </w:rPr>
                              <w:t>Report</w:t>
                            </w:r>
                          </w:p>
                          <w:p w14:paraId="6E24D7F0" w14:textId="77777777" w:rsidR="00DC55F0" w:rsidRDefault="00DC55F0" w:rsidP="00DC55F0">
                            <w:pPr>
                              <w:rPr>
                                <w:lang w:eastAsia="en-AU"/>
                              </w:rPr>
                            </w:pPr>
                          </w:p>
                          <w:p w14:paraId="54B654D7" w14:textId="77777777" w:rsidR="00DC55F0" w:rsidRDefault="00DC55F0" w:rsidP="00DC55F0">
                            <w:pPr>
                              <w:rPr>
                                <w:lang w:eastAsia="en-AU"/>
                              </w:rPr>
                            </w:pPr>
                          </w:p>
                          <w:p w14:paraId="75EEDA55" w14:textId="77777777" w:rsidR="00DC55F0" w:rsidRDefault="00DC55F0" w:rsidP="00DC55F0">
                            <w:pPr>
                              <w:rPr>
                                <w:lang w:eastAsia="en-AU"/>
                              </w:rPr>
                            </w:pPr>
                          </w:p>
                          <w:p w14:paraId="5B8E0364" w14:textId="77777777" w:rsidR="00DC55F0" w:rsidRDefault="00DC55F0" w:rsidP="00DC55F0">
                            <w:pPr>
                              <w:rPr>
                                <w:lang w:eastAsia="en-AU"/>
                              </w:rPr>
                            </w:pPr>
                          </w:p>
                          <w:p w14:paraId="0FCAA3DB" w14:textId="77777777" w:rsidR="00DC55F0" w:rsidRDefault="00DC55F0" w:rsidP="00DC55F0">
                            <w:pPr>
                              <w:rPr>
                                <w:lang w:eastAsia="en-AU"/>
                              </w:rPr>
                            </w:pPr>
                          </w:p>
                          <w:p w14:paraId="57FA8BA2" w14:textId="77777777" w:rsidR="00DC55F0" w:rsidRDefault="00DC55F0" w:rsidP="00DC55F0">
                            <w:pPr>
                              <w:rPr>
                                <w:lang w:eastAsia="en-AU"/>
                              </w:rPr>
                            </w:pPr>
                          </w:p>
                          <w:p w14:paraId="4613C0A4" w14:textId="77777777" w:rsidR="00DC55F0" w:rsidRDefault="00DC55F0" w:rsidP="00DC55F0">
                            <w:pPr>
                              <w:rPr>
                                <w:lang w:eastAsia="en-AU"/>
                              </w:rPr>
                            </w:pPr>
                          </w:p>
                          <w:p w14:paraId="5E8A2609" w14:textId="77777777" w:rsidR="00DC55F0" w:rsidRPr="00DC55F0" w:rsidRDefault="00DC55F0" w:rsidP="00DC55F0">
                            <w:pPr>
                              <w:rPr>
                                <w:lang w:eastAsia="en-AU"/>
                              </w:rPr>
                            </w:pPr>
                          </w:p>
                          <w:p w14:paraId="6AB019AA" w14:textId="77777777" w:rsidR="00DC55F0" w:rsidRDefault="00DC55F0" w:rsidP="00DC55F0">
                            <w:pPr>
                              <w:rPr>
                                <w:lang w:eastAsia="en-AU"/>
                              </w:rPr>
                            </w:pPr>
                          </w:p>
                          <w:p w14:paraId="5C121F0C" w14:textId="0A1467AE" w:rsidR="00DC55F0" w:rsidRPr="00DC55F0" w:rsidRDefault="00DC55F0" w:rsidP="00DC55F0">
                            <w:pPr>
                              <w:rPr>
                                <w:rFonts w:ascii="Acumin Pro Wide" w:hAnsi="Acumin Pro Wide"/>
                                <w:b/>
                                <w:bCs/>
                                <w:color w:val="003149"/>
                                <w:sz w:val="32"/>
                                <w:szCs w:val="32"/>
                                <w14:textOutline w14:w="9525" w14:cap="rnd" w14:cmpd="sng" w14:algn="ctr">
                                  <w14:solidFill>
                                    <w14:schemeClr w14:val="bg1"/>
                                  </w14:solidFill>
                                  <w14:prstDash w14:val="solid"/>
                                  <w14:bevel/>
                                </w14:textOutline>
                              </w:rPr>
                            </w:pPr>
                            <w:r w:rsidRPr="00DC55F0">
                              <w:rPr>
                                <w:rFonts w:ascii="Acumin Pro Wide" w:hAnsi="Acumin Pro Wide"/>
                                <w:b/>
                                <w:bCs/>
                                <w:color w:val="003149"/>
                                <w:sz w:val="32"/>
                                <w:szCs w:val="32"/>
                                <w14:textOutline w14:w="9525" w14:cap="rnd" w14:cmpd="sng" w14:algn="ctr">
                                  <w14:solidFill>
                                    <w14:schemeClr w14:val="bg1"/>
                                  </w14:solidFill>
                                  <w14:prstDash w14:val="solid"/>
                                  <w14:bevel/>
                                </w14:textOutline>
                              </w:rPr>
                              <w:t>Commissioned by Department of Social Services (DSS)</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3649B" id="_x0000_t202" coordsize="21600,21600" o:spt="202" path="m,l,21600r21600,l21600,xe">
                <v:stroke joinstyle="miter"/>
                <v:path gradientshapeok="t" o:connecttype="rect"/>
              </v:shapetype>
              <v:shape id="Text Box 1898800551" o:spid="_x0000_s1026" type="#_x0000_t202" style="position:absolute;margin-left:412.8pt;margin-top:162.8pt;width:464pt;height:337.5pt;z-index:-251634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" filled="f" stroked="f" strokeweight=".5pt">
                <v:textbox inset="0">
                  <w:txbxContent>
                    <w:p w14:paraId="7D8A9297" w14:textId="4792E0A0" w:rsidR="00DC55F0" w:rsidRDefault="00DC55F0" w:rsidP="00DC55F0">
                      <w:pPr>
                        <w:rPr>
                          <w:rFonts w:ascii="Acumin Pro Wide" w:hAnsi="Acumin Pro Wide"/>
                          <w:b/>
                          <w:bCs/>
                          <w:color w:val="003149"/>
                          <w:sz w:val="32"/>
                          <w:szCs w:val="32"/>
                          <w14:textOutline w14:w="9525" w14:cap="rnd" w14:cmpd="sng" w14:algn="ctr">
                            <w14:solidFill>
                              <w14:schemeClr w14:val="bg1"/>
                            </w14:solidFill>
                            <w14:prstDash w14:val="solid"/>
                            <w14:bevel/>
                          </w14:textOutline>
                        </w:rPr>
                      </w:pPr>
                      <w:r>
                        <w:rPr>
                          <w:rFonts w:eastAsia="Arial Unicode MS" w:cs="Arial Unicode MS"/>
                          <w:b/>
                          <w:bCs/>
                          <w:color w:val="000000"/>
                          <w:sz w:val="72"/>
                          <w:szCs w:val="72"/>
                          <w:u w:color="000000"/>
                          <w:bdr w:val="nil"/>
                          <w:lang w:eastAsia="en-AU"/>
                          <w14:textOutline w14:w="12700" w14:cap="flat" w14:cmpd="sng" w14:algn="ctr">
                            <w14:noFill/>
                            <w14:prstDash w14:val="solid"/>
                            <w14:miter w14:lim="400000"/>
                          </w14:textOutline>
                        </w:rPr>
                        <w:t xml:space="preserve">Intake Project Summary </w:t>
                      </w:r>
                    </w:p>
                    <w:p w14:paraId="22B82A96" w14:textId="5F6F93A0" w:rsidR="00DC55F0" w:rsidRDefault="00DC55F0" w:rsidP="00DC55F0">
                      <w:pPr>
                        <w:pStyle w:val="Title"/>
                        <w:keepLines/>
                        <w:pBdr>
                          <w:top w:val="nil"/>
                          <w:left w:val="nil"/>
                          <w:bottom w:val="nil"/>
                          <w:right w:val="nil"/>
                          <w:between w:val="nil"/>
                          <w:bar w:val="nil"/>
                        </w:pBdr>
                        <w:spacing w:after="120"/>
                        <w:contextualSpacing w:val="0"/>
                        <w:jc w:val="left"/>
                        <w:rPr>
                          <w:rFonts w:ascii="Helvetica" w:eastAsia="Arial Unicode MS" w:hAnsi="Helvetica" w:cs="Arial Unicode MS"/>
                          <w:b/>
                          <w:bCs/>
                          <w:color w:val="000000"/>
                          <w:spacing w:val="0"/>
                          <w:kern w:val="0"/>
                          <w:sz w:val="72"/>
                          <w:szCs w:val="72"/>
                          <w:u w:color="000000"/>
                          <w:bdr w:val="nil"/>
                          <w:lang w:eastAsia="en-AU"/>
                          <w14:textOutline w14:w="12700" w14:cap="flat" w14:cmpd="sng" w14:algn="ctr">
                            <w14:noFill/>
                            <w14:prstDash w14:val="solid"/>
                            <w14:miter w14:lim="400000"/>
                          </w14:textOutline>
                        </w:rPr>
                      </w:pPr>
                      <w:r>
                        <w:rPr>
                          <w:rFonts w:ascii="Helvetica" w:eastAsia="Arial Unicode MS" w:hAnsi="Helvetica" w:cs="Arial Unicode MS"/>
                          <w:b/>
                          <w:bCs/>
                          <w:color w:val="000000"/>
                          <w:spacing w:val="0"/>
                          <w:kern w:val="0"/>
                          <w:sz w:val="72"/>
                          <w:szCs w:val="72"/>
                          <w:u w:color="000000"/>
                          <w:bdr w:val="nil"/>
                          <w:lang w:eastAsia="en-AU"/>
                          <w14:textOutline w14:w="12700" w14:cap="flat" w14:cmpd="sng" w14:algn="ctr">
                            <w14:noFill/>
                            <w14:prstDash w14:val="solid"/>
                            <w14:miter w14:lim="400000"/>
                          </w14:textOutline>
                        </w:rPr>
                        <w:t>Report</w:t>
                      </w:r>
                    </w:p>
                    <w:p w14:paraId="6E24D7F0" w14:textId="77777777" w:rsidR="00DC55F0" w:rsidRDefault="00DC55F0" w:rsidP="00DC55F0">
                      <w:pPr>
                        <w:rPr>
                          <w:lang w:eastAsia="en-AU"/>
                        </w:rPr>
                      </w:pPr>
                    </w:p>
                    <w:p w14:paraId="54B654D7" w14:textId="77777777" w:rsidR="00DC55F0" w:rsidRDefault="00DC55F0" w:rsidP="00DC55F0">
                      <w:pPr>
                        <w:rPr>
                          <w:lang w:eastAsia="en-AU"/>
                        </w:rPr>
                      </w:pPr>
                    </w:p>
                    <w:p w14:paraId="75EEDA55" w14:textId="77777777" w:rsidR="00DC55F0" w:rsidRDefault="00DC55F0" w:rsidP="00DC55F0">
                      <w:pPr>
                        <w:rPr>
                          <w:lang w:eastAsia="en-AU"/>
                        </w:rPr>
                      </w:pPr>
                    </w:p>
                    <w:p w14:paraId="5B8E0364" w14:textId="77777777" w:rsidR="00DC55F0" w:rsidRDefault="00DC55F0" w:rsidP="00DC55F0">
                      <w:pPr>
                        <w:rPr>
                          <w:lang w:eastAsia="en-AU"/>
                        </w:rPr>
                      </w:pPr>
                    </w:p>
                    <w:p w14:paraId="0FCAA3DB" w14:textId="77777777" w:rsidR="00DC55F0" w:rsidRDefault="00DC55F0" w:rsidP="00DC55F0">
                      <w:pPr>
                        <w:rPr>
                          <w:lang w:eastAsia="en-AU"/>
                        </w:rPr>
                      </w:pPr>
                    </w:p>
                    <w:p w14:paraId="57FA8BA2" w14:textId="77777777" w:rsidR="00DC55F0" w:rsidRDefault="00DC55F0" w:rsidP="00DC55F0">
                      <w:pPr>
                        <w:rPr>
                          <w:lang w:eastAsia="en-AU"/>
                        </w:rPr>
                      </w:pPr>
                    </w:p>
                    <w:p w14:paraId="4613C0A4" w14:textId="77777777" w:rsidR="00DC55F0" w:rsidRDefault="00DC55F0" w:rsidP="00DC55F0">
                      <w:pPr>
                        <w:rPr>
                          <w:lang w:eastAsia="en-AU"/>
                        </w:rPr>
                      </w:pPr>
                    </w:p>
                    <w:p w14:paraId="5E8A2609" w14:textId="77777777" w:rsidR="00DC55F0" w:rsidRPr="00DC55F0" w:rsidRDefault="00DC55F0" w:rsidP="00DC55F0">
                      <w:pPr>
                        <w:rPr>
                          <w:lang w:eastAsia="en-AU"/>
                        </w:rPr>
                      </w:pPr>
                    </w:p>
                    <w:p w14:paraId="6AB019AA" w14:textId="77777777" w:rsidR="00DC55F0" w:rsidRDefault="00DC55F0" w:rsidP="00DC55F0">
                      <w:pPr>
                        <w:rPr>
                          <w:lang w:eastAsia="en-AU"/>
                        </w:rPr>
                      </w:pPr>
                    </w:p>
                    <w:p w14:paraId="5C121F0C" w14:textId="0A1467AE" w:rsidR="00DC55F0" w:rsidRPr="00DC55F0" w:rsidRDefault="00DC55F0" w:rsidP="00DC55F0">
                      <w:pPr>
                        <w:rPr>
                          <w:rFonts w:ascii="Acumin Pro Wide" w:hAnsi="Acumin Pro Wide"/>
                          <w:b/>
                          <w:bCs/>
                          <w:color w:val="003149"/>
                          <w:sz w:val="32"/>
                          <w:szCs w:val="32"/>
                          <w14:textOutline w14:w="9525" w14:cap="rnd" w14:cmpd="sng" w14:algn="ctr">
                            <w14:solidFill>
                              <w14:schemeClr w14:val="bg1"/>
                            </w14:solidFill>
                            <w14:prstDash w14:val="solid"/>
                            <w14:bevel/>
                          </w14:textOutline>
                        </w:rPr>
                      </w:pPr>
                      <w:r w:rsidRPr="00DC55F0">
                        <w:rPr>
                          <w:rFonts w:ascii="Acumin Pro Wide" w:hAnsi="Acumin Pro Wide"/>
                          <w:b/>
                          <w:bCs/>
                          <w:color w:val="003149"/>
                          <w:sz w:val="32"/>
                          <w:szCs w:val="32"/>
                          <w14:textOutline w14:w="9525" w14:cap="rnd" w14:cmpd="sng" w14:algn="ctr">
                            <w14:solidFill>
                              <w14:schemeClr w14:val="bg1"/>
                            </w14:solidFill>
                            <w14:prstDash w14:val="solid"/>
                            <w14:bevel/>
                          </w14:textOutline>
                        </w:rPr>
                        <w:t>Commissioned by Department of Social Services (DSS)</w:t>
                      </w:r>
                    </w:p>
                  </w:txbxContent>
                </v:textbox>
                <w10:wrap type="tight" anchorx="margin"/>
              </v:shape>
            </w:pict>
          </mc:Fallback>
        </mc:AlternateContent>
      </w:r>
      <w:sdt>
        <w:sdtPr>
          <w:id w:val="-434131207"/>
          <w:docPartObj>
            <w:docPartGallery w:val="Cover Pages"/>
            <w:docPartUnique/>
          </w:docPartObj>
        </w:sdtPr>
        <w:sdtEndPr/>
        <w:sdtContent>
          <w:r>
            <w:rPr>
              <w:noProof/>
            </w:rPr>
            <w:drawing>
              <wp:anchor distT="0" distB="0" distL="114300" distR="114300" simplePos="0" relativeHeight="251679744" behindDoc="1" locked="0" layoutInCell="1" allowOverlap="1" wp14:anchorId="6BA29A76" wp14:editId="49F35BA5">
                <wp:simplePos x="0" y="0"/>
                <wp:positionH relativeFrom="page">
                  <wp:align>right</wp:align>
                </wp:positionH>
                <wp:positionV relativeFrom="paragraph">
                  <wp:posOffset>-893928</wp:posOffset>
                </wp:positionV>
                <wp:extent cx="7538720" cy="10660816"/>
                <wp:effectExtent l="0" t="0" r="5080" b="7620"/>
                <wp:wrapNone/>
                <wp:docPr id="992258018" name="Picture 992258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258018" name="Picture 99225801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8720" cy="10660816"/>
                        </a:xfrm>
                        <a:prstGeom prst="rect">
                          <a:avLst/>
                        </a:prstGeom>
                      </pic:spPr>
                    </pic:pic>
                  </a:graphicData>
                </a:graphic>
                <wp14:sizeRelH relativeFrom="page">
                  <wp14:pctWidth>0</wp14:pctWidth>
                </wp14:sizeRelH>
                <wp14:sizeRelV relativeFrom="page">
                  <wp14:pctHeight>0</wp14:pctHeight>
                </wp14:sizeRelV>
              </wp:anchor>
            </w:drawing>
          </w:r>
          <w:r w:rsidR="002639A5">
            <w:br w:type="page"/>
          </w:r>
        </w:sdtContent>
      </w:sdt>
    </w:p>
    <w:sdt>
      <w:sdtPr>
        <w:rPr>
          <w:rFonts w:asciiTheme="minorHAnsi" w:eastAsiaTheme="minorHAnsi" w:hAnsiTheme="minorHAnsi" w:cstheme="minorBidi"/>
          <w:b w:val="0"/>
          <w:bCs w:val="0"/>
          <w:color w:val="auto"/>
          <w:sz w:val="24"/>
          <w:szCs w:val="24"/>
          <w:lang w:val="en-AU"/>
        </w:rPr>
        <w:id w:val="1723798500"/>
        <w:docPartObj>
          <w:docPartGallery w:val="Table of Contents"/>
          <w:docPartUnique/>
        </w:docPartObj>
      </w:sdtPr>
      <w:sdtEndPr>
        <w:rPr>
          <w:rFonts w:ascii="Helvetica" w:hAnsi="Helvetica"/>
          <w:noProof/>
          <w:sz w:val="22"/>
        </w:rPr>
      </w:sdtEndPr>
      <w:sdtContent>
        <w:p w14:paraId="71F1CDA6" w14:textId="38A2A039" w:rsidR="00E13748" w:rsidRPr="00E3687A" w:rsidRDefault="00EA661F" w:rsidP="00E13748">
          <w:pPr>
            <w:pStyle w:val="TOCHeading"/>
            <w:rPr>
              <w:rFonts w:cs="Helvetica"/>
              <w:b w:val="0"/>
              <w:bCs w:val="0"/>
            </w:rPr>
          </w:pPr>
          <w:r w:rsidRPr="00E3687A">
            <w:rPr>
              <w:rFonts w:cs="Helvetica"/>
              <w:b w:val="0"/>
              <w:bCs w:val="0"/>
              <w:sz w:val="40"/>
              <w:szCs w:val="40"/>
            </w:rPr>
            <w:t>Table of contents</w:t>
          </w:r>
        </w:p>
        <w:p w14:paraId="4FCF6129" w14:textId="6D7D2389" w:rsidR="004037E0" w:rsidRDefault="00EB456F">
          <w:pPr>
            <w:pStyle w:val="TOC1"/>
            <w:rPr>
              <w:rFonts w:asciiTheme="minorHAnsi" w:eastAsiaTheme="minorEastAsia" w:hAnsiTheme="minorHAnsi" w:cstheme="minorBidi"/>
              <w:b w:val="0"/>
              <w:bCs w:val="0"/>
              <w:noProof/>
              <w:kern w:val="2"/>
              <w:sz w:val="22"/>
              <w:szCs w:val="22"/>
              <w:lang w:eastAsia="en-AU"/>
              <w14:ligatures w14:val="standardContextual"/>
            </w:rPr>
          </w:pPr>
          <w:r>
            <w:rPr>
              <w:color w:val="003149"/>
              <w:sz w:val="28"/>
              <w:szCs w:val="28"/>
            </w:rPr>
            <w:fldChar w:fldCharType="begin"/>
          </w:r>
          <w:r>
            <w:rPr>
              <w:color w:val="003149"/>
              <w:sz w:val="28"/>
              <w:szCs w:val="28"/>
            </w:rPr>
            <w:instrText xml:space="preserve"> TOC \o "1-3" \h \z \u </w:instrText>
          </w:r>
          <w:r>
            <w:rPr>
              <w:color w:val="003149"/>
              <w:sz w:val="28"/>
              <w:szCs w:val="28"/>
            </w:rPr>
            <w:fldChar w:fldCharType="separate"/>
          </w:r>
          <w:hyperlink w:anchor="_Toc149667967" w:history="1">
            <w:r w:rsidR="004037E0" w:rsidRPr="004D2539">
              <w:rPr>
                <w:rStyle w:val="Hyperlink"/>
                <w:noProof/>
              </w:rPr>
              <w:t>Glossary</w:t>
            </w:r>
            <w:r w:rsidR="004037E0">
              <w:rPr>
                <w:noProof/>
                <w:webHidden/>
              </w:rPr>
              <w:tab/>
            </w:r>
            <w:r w:rsidR="004037E0">
              <w:rPr>
                <w:noProof/>
                <w:webHidden/>
              </w:rPr>
              <w:fldChar w:fldCharType="begin"/>
            </w:r>
            <w:r w:rsidR="004037E0">
              <w:rPr>
                <w:noProof/>
                <w:webHidden/>
              </w:rPr>
              <w:instrText xml:space="preserve"> PAGEREF _Toc149667967 \h </w:instrText>
            </w:r>
            <w:r w:rsidR="004037E0">
              <w:rPr>
                <w:noProof/>
                <w:webHidden/>
              </w:rPr>
            </w:r>
            <w:r w:rsidR="004037E0">
              <w:rPr>
                <w:noProof/>
                <w:webHidden/>
              </w:rPr>
              <w:fldChar w:fldCharType="separate"/>
            </w:r>
            <w:r w:rsidR="00C8748D">
              <w:rPr>
                <w:noProof/>
                <w:webHidden/>
              </w:rPr>
              <w:t>3</w:t>
            </w:r>
            <w:r w:rsidR="004037E0">
              <w:rPr>
                <w:noProof/>
                <w:webHidden/>
              </w:rPr>
              <w:fldChar w:fldCharType="end"/>
            </w:r>
          </w:hyperlink>
        </w:p>
        <w:p w14:paraId="61CF30F1" w14:textId="29610ADA" w:rsidR="004037E0" w:rsidRDefault="00FC3DB4">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9667968" w:history="1">
            <w:r w:rsidR="004037E0" w:rsidRPr="004D2539">
              <w:rPr>
                <w:rStyle w:val="Hyperlink"/>
                <w:noProof/>
              </w:rPr>
              <w:t>Executive Summary</w:t>
            </w:r>
            <w:r w:rsidR="004037E0">
              <w:rPr>
                <w:noProof/>
                <w:webHidden/>
              </w:rPr>
              <w:tab/>
            </w:r>
            <w:r w:rsidR="004037E0">
              <w:rPr>
                <w:noProof/>
                <w:webHidden/>
              </w:rPr>
              <w:fldChar w:fldCharType="begin"/>
            </w:r>
            <w:r w:rsidR="004037E0">
              <w:rPr>
                <w:noProof/>
                <w:webHidden/>
              </w:rPr>
              <w:instrText xml:space="preserve"> PAGEREF _Toc149667968 \h </w:instrText>
            </w:r>
            <w:r w:rsidR="004037E0">
              <w:rPr>
                <w:noProof/>
                <w:webHidden/>
              </w:rPr>
            </w:r>
            <w:r w:rsidR="004037E0">
              <w:rPr>
                <w:noProof/>
                <w:webHidden/>
              </w:rPr>
              <w:fldChar w:fldCharType="separate"/>
            </w:r>
            <w:r w:rsidR="00C8748D">
              <w:rPr>
                <w:noProof/>
                <w:webHidden/>
              </w:rPr>
              <w:t>4</w:t>
            </w:r>
            <w:r w:rsidR="004037E0">
              <w:rPr>
                <w:noProof/>
                <w:webHidden/>
              </w:rPr>
              <w:fldChar w:fldCharType="end"/>
            </w:r>
          </w:hyperlink>
        </w:p>
        <w:p w14:paraId="64957F97" w14:textId="518CB119" w:rsidR="004037E0" w:rsidRDefault="00FC3DB4">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9667969" w:history="1">
            <w:r w:rsidR="004037E0" w:rsidRPr="004D2539">
              <w:rPr>
                <w:rStyle w:val="Hyperlink"/>
                <w:noProof/>
              </w:rPr>
              <w:t>Introduction</w:t>
            </w:r>
            <w:r w:rsidR="004037E0">
              <w:rPr>
                <w:noProof/>
                <w:webHidden/>
              </w:rPr>
              <w:tab/>
            </w:r>
            <w:r w:rsidR="004037E0">
              <w:rPr>
                <w:noProof/>
                <w:webHidden/>
              </w:rPr>
              <w:fldChar w:fldCharType="begin"/>
            </w:r>
            <w:r w:rsidR="004037E0">
              <w:rPr>
                <w:noProof/>
                <w:webHidden/>
              </w:rPr>
              <w:instrText xml:space="preserve"> PAGEREF _Toc149667969 \h </w:instrText>
            </w:r>
            <w:r w:rsidR="004037E0">
              <w:rPr>
                <w:noProof/>
                <w:webHidden/>
              </w:rPr>
            </w:r>
            <w:r w:rsidR="004037E0">
              <w:rPr>
                <w:noProof/>
                <w:webHidden/>
              </w:rPr>
              <w:fldChar w:fldCharType="separate"/>
            </w:r>
            <w:r w:rsidR="00C8748D">
              <w:rPr>
                <w:noProof/>
                <w:webHidden/>
              </w:rPr>
              <w:t>9</w:t>
            </w:r>
            <w:r w:rsidR="004037E0">
              <w:rPr>
                <w:noProof/>
                <w:webHidden/>
              </w:rPr>
              <w:fldChar w:fldCharType="end"/>
            </w:r>
          </w:hyperlink>
        </w:p>
        <w:p w14:paraId="564CAF3A" w14:textId="5F103C32" w:rsidR="004037E0" w:rsidRDefault="00FC3DB4">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9667970" w:history="1">
            <w:r w:rsidR="004037E0" w:rsidRPr="004D2539">
              <w:rPr>
                <w:rStyle w:val="Hyperlink"/>
                <w:noProof/>
              </w:rPr>
              <w:t>The Intake Project</w:t>
            </w:r>
            <w:r w:rsidR="004037E0">
              <w:rPr>
                <w:noProof/>
                <w:webHidden/>
              </w:rPr>
              <w:tab/>
            </w:r>
            <w:r w:rsidR="004037E0">
              <w:rPr>
                <w:noProof/>
                <w:webHidden/>
              </w:rPr>
              <w:fldChar w:fldCharType="begin"/>
            </w:r>
            <w:r w:rsidR="004037E0">
              <w:rPr>
                <w:noProof/>
                <w:webHidden/>
              </w:rPr>
              <w:instrText xml:space="preserve"> PAGEREF _Toc149667970 \h </w:instrText>
            </w:r>
            <w:r w:rsidR="004037E0">
              <w:rPr>
                <w:noProof/>
                <w:webHidden/>
              </w:rPr>
            </w:r>
            <w:r w:rsidR="004037E0">
              <w:rPr>
                <w:noProof/>
                <w:webHidden/>
              </w:rPr>
              <w:fldChar w:fldCharType="separate"/>
            </w:r>
            <w:r w:rsidR="00C8748D">
              <w:rPr>
                <w:noProof/>
                <w:webHidden/>
              </w:rPr>
              <w:t>9</w:t>
            </w:r>
            <w:r w:rsidR="004037E0">
              <w:rPr>
                <w:noProof/>
                <w:webHidden/>
              </w:rPr>
              <w:fldChar w:fldCharType="end"/>
            </w:r>
          </w:hyperlink>
        </w:p>
        <w:p w14:paraId="56EB2913" w14:textId="5A07D1FC" w:rsidR="004037E0" w:rsidRDefault="00FC3DB4">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9667971" w:history="1">
            <w:r w:rsidR="004037E0" w:rsidRPr="004D2539">
              <w:rPr>
                <w:rStyle w:val="Hyperlink"/>
                <w:noProof/>
              </w:rPr>
              <w:t>Methodology</w:t>
            </w:r>
            <w:r w:rsidR="004037E0">
              <w:rPr>
                <w:noProof/>
                <w:webHidden/>
              </w:rPr>
              <w:tab/>
            </w:r>
            <w:r w:rsidR="004037E0">
              <w:rPr>
                <w:noProof/>
                <w:webHidden/>
              </w:rPr>
              <w:fldChar w:fldCharType="begin"/>
            </w:r>
            <w:r w:rsidR="004037E0">
              <w:rPr>
                <w:noProof/>
                <w:webHidden/>
              </w:rPr>
              <w:instrText xml:space="preserve"> PAGEREF _Toc149667971 \h </w:instrText>
            </w:r>
            <w:r w:rsidR="004037E0">
              <w:rPr>
                <w:noProof/>
                <w:webHidden/>
              </w:rPr>
            </w:r>
            <w:r w:rsidR="004037E0">
              <w:rPr>
                <w:noProof/>
                <w:webHidden/>
              </w:rPr>
              <w:fldChar w:fldCharType="separate"/>
            </w:r>
            <w:r w:rsidR="00C8748D">
              <w:rPr>
                <w:noProof/>
                <w:webHidden/>
              </w:rPr>
              <w:t>9</w:t>
            </w:r>
            <w:r w:rsidR="004037E0">
              <w:rPr>
                <w:noProof/>
                <w:webHidden/>
              </w:rPr>
              <w:fldChar w:fldCharType="end"/>
            </w:r>
          </w:hyperlink>
        </w:p>
        <w:p w14:paraId="1693920D" w14:textId="63D54E4A" w:rsidR="004037E0" w:rsidRDefault="00FC3DB4">
          <w:pPr>
            <w:pStyle w:val="TOC3"/>
            <w:tabs>
              <w:tab w:val="right" w:leader="dot" w:pos="9016"/>
            </w:tabs>
            <w:rPr>
              <w:rFonts w:asciiTheme="minorHAnsi" w:eastAsiaTheme="minorEastAsia" w:hAnsiTheme="minorHAnsi" w:cstheme="minorBidi"/>
              <w:noProof/>
              <w:kern w:val="2"/>
              <w:sz w:val="22"/>
              <w:szCs w:val="22"/>
              <w:lang w:eastAsia="en-AU"/>
              <w14:ligatures w14:val="standardContextual"/>
            </w:rPr>
          </w:pPr>
          <w:hyperlink w:anchor="_Toc149667972" w:history="1">
            <w:r w:rsidR="004037E0" w:rsidRPr="004D2539">
              <w:rPr>
                <w:rStyle w:val="Hyperlink"/>
                <w:noProof/>
              </w:rPr>
              <w:t>Online survey</w:t>
            </w:r>
            <w:r w:rsidR="004037E0">
              <w:rPr>
                <w:noProof/>
                <w:webHidden/>
              </w:rPr>
              <w:tab/>
            </w:r>
            <w:r w:rsidR="004037E0">
              <w:rPr>
                <w:noProof/>
                <w:webHidden/>
              </w:rPr>
              <w:fldChar w:fldCharType="begin"/>
            </w:r>
            <w:r w:rsidR="004037E0">
              <w:rPr>
                <w:noProof/>
                <w:webHidden/>
              </w:rPr>
              <w:instrText xml:space="preserve"> PAGEREF _Toc149667972 \h </w:instrText>
            </w:r>
            <w:r w:rsidR="004037E0">
              <w:rPr>
                <w:noProof/>
                <w:webHidden/>
              </w:rPr>
            </w:r>
            <w:r w:rsidR="004037E0">
              <w:rPr>
                <w:noProof/>
                <w:webHidden/>
              </w:rPr>
              <w:fldChar w:fldCharType="separate"/>
            </w:r>
            <w:r w:rsidR="00C8748D">
              <w:rPr>
                <w:noProof/>
                <w:webHidden/>
              </w:rPr>
              <w:t>10</w:t>
            </w:r>
            <w:r w:rsidR="004037E0">
              <w:rPr>
                <w:noProof/>
                <w:webHidden/>
              </w:rPr>
              <w:fldChar w:fldCharType="end"/>
            </w:r>
          </w:hyperlink>
        </w:p>
        <w:p w14:paraId="3656AF86" w14:textId="147BBFFA" w:rsidR="004037E0" w:rsidRDefault="00FC3DB4">
          <w:pPr>
            <w:pStyle w:val="TOC3"/>
            <w:tabs>
              <w:tab w:val="right" w:leader="dot" w:pos="9016"/>
            </w:tabs>
            <w:rPr>
              <w:rFonts w:asciiTheme="minorHAnsi" w:eastAsiaTheme="minorEastAsia" w:hAnsiTheme="minorHAnsi" w:cstheme="minorBidi"/>
              <w:noProof/>
              <w:kern w:val="2"/>
              <w:sz w:val="22"/>
              <w:szCs w:val="22"/>
              <w:lang w:eastAsia="en-AU"/>
              <w14:ligatures w14:val="standardContextual"/>
            </w:rPr>
          </w:pPr>
          <w:hyperlink w:anchor="_Toc149667973" w:history="1">
            <w:r w:rsidR="004037E0" w:rsidRPr="004D2539">
              <w:rPr>
                <w:rStyle w:val="Hyperlink"/>
                <w:noProof/>
              </w:rPr>
              <w:t>Forums</w:t>
            </w:r>
            <w:r w:rsidR="004037E0">
              <w:rPr>
                <w:noProof/>
                <w:webHidden/>
              </w:rPr>
              <w:tab/>
            </w:r>
            <w:r w:rsidR="004037E0">
              <w:rPr>
                <w:noProof/>
                <w:webHidden/>
              </w:rPr>
              <w:fldChar w:fldCharType="begin"/>
            </w:r>
            <w:r w:rsidR="004037E0">
              <w:rPr>
                <w:noProof/>
                <w:webHidden/>
              </w:rPr>
              <w:instrText xml:space="preserve"> PAGEREF _Toc149667973 \h </w:instrText>
            </w:r>
            <w:r w:rsidR="004037E0">
              <w:rPr>
                <w:noProof/>
                <w:webHidden/>
              </w:rPr>
            </w:r>
            <w:r w:rsidR="004037E0">
              <w:rPr>
                <w:noProof/>
                <w:webHidden/>
              </w:rPr>
              <w:fldChar w:fldCharType="separate"/>
            </w:r>
            <w:r w:rsidR="00C8748D">
              <w:rPr>
                <w:noProof/>
                <w:webHidden/>
              </w:rPr>
              <w:t>10</w:t>
            </w:r>
            <w:r w:rsidR="004037E0">
              <w:rPr>
                <w:noProof/>
                <w:webHidden/>
              </w:rPr>
              <w:fldChar w:fldCharType="end"/>
            </w:r>
          </w:hyperlink>
        </w:p>
        <w:p w14:paraId="3698875D" w14:textId="64E0FE6E" w:rsidR="004037E0" w:rsidRDefault="00FC3DB4">
          <w:pPr>
            <w:pStyle w:val="TOC3"/>
            <w:tabs>
              <w:tab w:val="right" w:leader="dot" w:pos="9016"/>
            </w:tabs>
            <w:rPr>
              <w:rFonts w:asciiTheme="minorHAnsi" w:eastAsiaTheme="minorEastAsia" w:hAnsiTheme="minorHAnsi" w:cstheme="minorBidi"/>
              <w:noProof/>
              <w:kern w:val="2"/>
              <w:sz w:val="22"/>
              <w:szCs w:val="22"/>
              <w:lang w:eastAsia="en-AU"/>
              <w14:ligatures w14:val="standardContextual"/>
            </w:rPr>
          </w:pPr>
          <w:hyperlink w:anchor="_Toc149667974" w:history="1">
            <w:r w:rsidR="004037E0" w:rsidRPr="004D2539">
              <w:rPr>
                <w:rStyle w:val="Hyperlink"/>
                <w:noProof/>
              </w:rPr>
              <w:t>Interviews</w:t>
            </w:r>
            <w:r w:rsidR="004037E0">
              <w:rPr>
                <w:noProof/>
                <w:webHidden/>
              </w:rPr>
              <w:tab/>
            </w:r>
            <w:r w:rsidR="004037E0">
              <w:rPr>
                <w:noProof/>
                <w:webHidden/>
              </w:rPr>
              <w:fldChar w:fldCharType="begin"/>
            </w:r>
            <w:r w:rsidR="004037E0">
              <w:rPr>
                <w:noProof/>
                <w:webHidden/>
              </w:rPr>
              <w:instrText xml:space="preserve"> PAGEREF _Toc149667974 \h </w:instrText>
            </w:r>
            <w:r w:rsidR="004037E0">
              <w:rPr>
                <w:noProof/>
                <w:webHidden/>
              </w:rPr>
            </w:r>
            <w:r w:rsidR="004037E0">
              <w:rPr>
                <w:noProof/>
                <w:webHidden/>
              </w:rPr>
              <w:fldChar w:fldCharType="separate"/>
            </w:r>
            <w:r w:rsidR="00C8748D">
              <w:rPr>
                <w:noProof/>
                <w:webHidden/>
              </w:rPr>
              <w:t>11</w:t>
            </w:r>
            <w:r w:rsidR="004037E0">
              <w:rPr>
                <w:noProof/>
                <w:webHidden/>
              </w:rPr>
              <w:fldChar w:fldCharType="end"/>
            </w:r>
          </w:hyperlink>
        </w:p>
        <w:p w14:paraId="148DD2E7" w14:textId="2303491C" w:rsidR="004037E0" w:rsidRDefault="00FC3DB4">
          <w:pPr>
            <w:pStyle w:val="TOC3"/>
            <w:tabs>
              <w:tab w:val="right" w:leader="dot" w:pos="9016"/>
            </w:tabs>
            <w:rPr>
              <w:rFonts w:asciiTheme="minorHAnsi" w:eastAsiaTheme="minorEastAsia" w:hAnsiTheme="minorHAnsi" w:cstheme="minorBidi"/>
              <w:noProof/>
              <w:kern w:val="2"/>
              <w:sz w:val="22"/>
              <w:szCs w:val="22"/>
              <w:lang w:eastAsia="en-AU"/>
              <w14:ligatures w14:val="standardContextual"/>
            </w:rPr>
          </w:pPr>
          <w:hyperlink w:anchor="_Toc149667975" w:history="1">
            <w:r w:rsidR="004037E0" w:rsidRPr="004D2539">
              <w:rPr>
                <w:rStyle w:val="Hyperlink"/>
                <w:noProof/>
                <w:lang w:eastAsia="en-AU"/>
              </w:rPr>
              <w:t>Analysis</w:t>
            </w:r>
            <w:r w:rsidR="004037E0">
              <w:rPr>
                <w:noProof/>
                <w:webHidden/>
              </w:rPr>
              <w:tab/>
            </w:r>
            <w:r w:rsidR="004037E0">
              <w:rPr>
                <w:noProof/>
                <w:webHidden/>
              </w:rPr>
              <w:fldChar w:fldCharType="begin"/>
            </w:r>
            <w:r w:rsidR="004037E0">
              <w:rPr>
                <w:noProof/>
                <w:webHidden/>
              </w:rPr>
              <w:instrText xml:space="preserve"> PAGEREF _Toc149667975 \h </w:instrText>
            </w:r>
            <w:r w:rsidR="004037E0">
              <w:rPr>
                <w:noProof/>
                <w:webHidden/>
              </w:rPr>
            </w:r>
            <w:r w:rsidR="004037E0">
              <w:rPr>
                <w:noProof/>
                <w:webHidden/>
              </w:rPr>
              <w:fldChar w:fldCharType="separate"/>
            </w:r>
            <w:r w:rsidR="00C8748D">
              <w:rPr>
                <w:noProof/>
                <w:webHidden/>
              </w:rPr>
              <w:t>11</w:t>
            </w:r>
            <w:r w:rsidR="004037E0">
              <w:rPr>
                <w:noProof/>
                <w:webHidden/>
              </w:rPr>
              <w:fldChar w:fldCharType="end"/>
            </w:r>
          </w:hyperlink>
        </w:p>
        <w:p w14:paraId="1FE0B2C6" w14:textId="579747BF" w:rsidR="004037E0" w:rsidRDefault="00FC3DB4">
          <w:pPr>
            <w:pStyle w:val="TOC3"/>
            <w:tabs>
              <w:tab w:val="right" w:leader="dot" w:pos="9016"/>
            </w:tabs>
            <w:rPr>
              <w:rFonts w:asciiTheme="minorHAnsi" w:eastAsiaTheme="minorEastAsia" w:hAnsiTheme="minorHAnsi" w:cstheme="minorBidi"/>
              <w:noProof/>
              <w:kern w:val="2"/>
              <w:sz w:val="22"/>
              <w:szCs w:val="22"/>
              <w:lang w:eastAsia="en-AU"/>
              <w14:ligatures w14:val="standardContextual"/>
            </w:rPr>
          </w:pPr>
          <w:hyperlink w:anchor="_Toc149667976" w:history="1">
            <w:r w:rsidR="004037E0" w:rsidRPr="004D2539">
              <w:rPr>
                <w:rStyle w:val="Hyperlink"/>
                <w:noProof/>
              </w:rPr>
              <w:t>Production of the Intake Reference Guide</w:t>
            </w:r>
            <w:r w:rsidR="004037E0">
              <w:rPr>
                <w:noProof/>
                <w:webHidden/>
              </w:rPr>
              <w:tab/>
            </w:r>
            <w:r w:rsidR="004037E0">
              <w:rPr>
                <w:noProof/>
                <w:webHidden/>
              </w:rPr>
              <w:fldChar w:fldCharType="begin"/>
            </w:r>
            <w:r w:rsidR="004037E0">
              <w:rPr>
                <w:noProof/>
                <w:webHidden/>
              </w:rPr>
              <w:instrText xml:space="preserve"> PAGEREF _Toc149667976 \h </w:instrText>
            </w:r>
            <w:r w:rsidR="004037E0">
              <w:rPr>
                <w:noProof/>
                <w:webHidden/>
              </w:rPr>
            </w:r>
            <w:r w:rsidR="004037E0">
              <w:rPr>
                <w:noProof/>
                <w:webHidden/>
              </w:rPr>
              <w:fldChar w:fldCharType="separate"/>
            </w:r>
            <w:r w:rsidR="00C8748D">
              <w:rPr>
                <w:noProof/>
                <w:webHidden/>
              </w:rPr>
              <w:t>12</w:t>
            </w:r>
            <w:r w:rsidR="004037E0">
              <w:rPr>
                <w:noProof/>
                <w:webHidden/>
              </w:rPr>
              <w:fldChar w:fldCharType="end"/>
            </w:r>
          </w:hyperlink>
        </w:p>
        <w:p w14:paraId="0A371B04" w14:textId="10BE2631" w:rsidR="004037E0" w:rsidRDefault="00FC3DB4">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9667977" w:history="1">
            <w:r w:rsidR="004037E0" w:rsidRPr="004D2539">
              <w:rPr>
                <w:rStyle w:val="Hyperlink"/>
                <w:noProof/>
              </w:rPr>
              <w:t>Key Findings</w:t>
            </w:r>
            <w:r w:rsidR="004037E0">
              <w:rPr>
                <w:noProof/>
                <w:webHidden/>
              </w:rPr>
              <w:tab/>
            </w:r>
            <w:r w:rsidR="004037E0">
              <w:rPr>
                <w:noProof/>
                <w:webHidden/>
              </w:rPr>
              <w:fldChar w:fldCharType="begin"/>
            </w:r>
            <w:r w:rsidR="004037E0">
              <w:rPr>
                <w:noProof/>
                <w:webHidden/>
              </w:rPr>
              <w:instrText xml:space="preserve"> PAGEREF _Toc149667977 \h </w:instrText>
            </w:r>
            <w:r w:rsidR="004037E0">
              <w:rPr>
                <w:noProof/>
                <w:webHidden/>
              </w:rPr>
            </w:r>
            <w:r w:rsidR="004037E0">
              <w:rPr>
                <w:noProof/>
                <w:webHidden/>
              </w:rPr>
              <w:fldChar w:fldCharType="separate"/>
            </w:r>
            <w:r w:rsidR="00C8748D">
              <w:rPr>
                <w:noProof/>
                <w:webHidden/>
              </w:rPr>
              <w:t>13</w:t>
            </w:r>
            <w:r w:rsidR="004037E0">
              <w:rPr>
                <w:noProof/>
                <w:webHidden/>
              </w:rPr>
              <w:fldChar w:fldCharType="end"/>
            </w:r>
          </w:hyperlink>
        </w:p>
        <w:p w14:paraId="7F142E0F" w14:textId="4DB9FAB0" w:rsidR="004037E0" w:rsidRDefault="00FC3DB4">
          <w:pPr>
            <w:pStyle w:val="TOC2"/>
            <w:tabs>
              <w:tab w:val="right" w:leader="dot" w:pos="9016"/>
            </w:tabs>
            <w:rPr>
              <w:rFonts w:asciiTheme="minorHAnsi" w:eastAsiaTheme="minorEastAsia" w:hAnsiTheme="minorHAnsi" w:cstheme="minorBidi"/>
              <w:iCs w:val="0"/>
              <w:noProof/>
              <w:kern w:val="2"/>
              <w:sz w:val="22"/>
              <w:szCs w:val="22"/>
              <w:lang w:eastAsia="en-AU"/>
              <w14:ligatures w14:val="standardContextual"/>
            </w:rPr>
          </w:pPr>
          <w:hyperlink w:anchor="_Toc149667978" w:history="1">
            <w:r w:rsidR="004037E0" w:rsidRPr="004D2539">
              <w:rPr>
                <w:rStyle w:val="Hyperlink"/>
                <w:noProof/>
              </w:rPr>
              <w:t>Quantitative data trends</w:t>
            </w:r>
            <w:r w:rsidR="004037E0">
              <w:rPr>
                <w:noProof/>
                <w:webHidden/>
              </w:rPr>
              <w:tab/>
            </w:r>
            <w:r w:rsidR="004037E0">
              <w:rPr>
                <w:noProof/>
                <w:webHidden/>
              </w:rPr>
              <w:fldChar w:fldCharType="begin"/>
            </w:r>
            <w:r w:rsidR="004037E0">
              <w:rPr>
                <w:noProof/>
                <w:webHidden/>
              </w:rPr>
              <w:instrText xml:space="preserve"> PAGEREF _Toc149667978 \h </w:instrText>
            </w:r>
            <w:r w:rsidR="004037E0">
              <w:rPr>
                <w:noProof/>
                <w:webHidden/>
              </w:rPr>
            </w:r>
            <w:r w:rsidR="004037E0">
              <w:rPr>
                <w:noProof/>
                <w:webHidden/>
              </w:rPr>
              <w:fldChar w:fldCharType="separate"/>
            </w:r>
            <w:r w:rsidR="00C8748D">
              <w:rPr>
                <w:noProof/>
                <w:webHidden/>
              </w:rPr>
              <w:t>14</w:t>
            </w:r>
            <w:r w:rsidR="004037E0">
              <w:rPr>
                <w:noProof/>
                <w:webHidden/>
              </w:rPr>
              <w:fldChar w:fldCharType="end"/>
            </w:r>
          </w:hyperlink>
        </w:p>
        <w:p w14:paraId="4437EBD6" w14:textId="24CB2ABA" w:rsidR="004037E0" w:rsidRDefault="00FC3DB4">
          <w:pPr>
            <w:pStyle w:val="TOC2"/>
            <w:tabs>
              <w:tab w:val="right" w:leader="dot" w:pos="9016"/>
            </w:tabs>
            <w:rPr>
              <w:rFonts w:asciiTheme="minorHAnsi" w:eastAsiaTheme="minorEastAsia" w:hAnsiTheme="minorHAnsi" w:cstheme="minorBidi"/>
              <w:iCs w:val="0"/>
              <w:noProof/>
              <w:kern w:val="2"/>
              <w:sz w:val="22"/>
              <w:szCs w:val="22"/>
              <w:lang w:eastAsia="en-AU"/>
              <w14:ligatures w14:val="standardContextual"/>
            </w:rPr>
          </w:pPr>
          <w:hyperlink w:anchor="_Toc149667979" w:history="1">
            <w:r w:rsidR="004037E0" w:rsidRPr="004D2539">
              <w:rPr>
                <w:rStyle w:val="Hyperlink"/>
                <w:noProof/>
              </w:rPr>
              <w:t>Qualitative data themes</w:t>
            </w:r>
            <w:r w:rsidR="004037E0">
              <w:rPr>
                <w:noProof/>
                <w:webHidden/>
              </w:rPr>
              <w:tab/>
            </w:r>
            <w:r w:rsidR="004037E0">
              <w:rPr>
                <w:noProof/>
                <w:webHidden/>
              </w:rPr>
              <w:fldChar w:fldCharType="begin"/>
            </w:r>
            <w:r w:rsidR="004037E0">
              <w:rPr>
                <w:noProof/>
                <w:webHidden/>
              </w:rPr>
              <w:instrText xml:space="preserve"> PAGEREF _Toc149667979 \h </w:instrText>
            </w:r>
            <w:r w:rsidR="004037E0">
              <w:rPr>
                <w:noProof/>
                <w:webHidden/>
              </w:rPr>
            </w:r>
            <w:r w:rsidR="004037E0">
              <w:rPr>
                <w:noProof/>
                <w:webHidden/>
              </w:rPr>
              <w:fldChar w:fldCharType="separate"/>
            </w:r>
            <w:r w:rsidR="00C8748D">
              <w:rPr>
                <w:noProof/>
                <w:webHidden/>
              </w:rPr>
              <w:t>21</w:t>
            </w:r>
            <w:r w:rsidR="004037E0">
              <w:rPr>
                <w:noProof/>
                <w:webHidden/>
              </w:rPr>
              <w:fldChar w:fldCharType="end"/>
            </w:r>
          </w:hyperlink>
        </w:p>
        <w:p w14:paraId="305F4A48" w14:textId="38A7E210" w:rsidR="004037E0" w:rsidRDefault="00FC3DB4">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9667980" w:history="1">
            <w:r w:rsidR="004037E0" w:rsidRPr="004D2539">
              <w:rPr>
                <w:rStyle w:val="Hyperlink"/>
                <w:noProof/>
              </w:rPr>
              <w:t>Discussion</w:t>
            </w:r>
            <w:r w:rsidR="004037E0">
              <w:rPr>
                <w:noProof/>
                <w:webHidden/>
              </w:rPr>
              <w:tab/>
            </w:r>
            <w:r w:rsidR="004037E0">
              <w:rPr>
                <w:noProof/>
                <w:webHidden/>
              </w:rPr>
              <w:fldChar w:fldCharType="begin"/>
            </w:r>
            <w:r w:rsidR="004037E0">
              <w:rPr>
                <w:noProof/>
                <w:webHidden/>
              </w:rPr>
              <w:instrText xml:space="preserve"> PAGEREF _Toc149667980 \h </w:instrText>
            </w:r>
            <w:r w:rsidR="004037E0">
              <w:rPr>
                <w:noProof/>
                <w:webHidden/>
              </w:rPr>
            </w:r>
            <w:r w:rsidR="004037E0">
              <w:rPr>
                <w:noProof/>
                <w:webHidden/>
              </w:rPr>
              <w:fldChar w:fldCharType="separate"/>
            </w:r>
            <w:r w:rsidR="00C8748D">
              <w:rPr>
                <w:noProof/>
                <w:webHidden/>
              </w:rPr>
              <w:t>23</w:t>
            </w:r>
            <w:r w:rsidR="004037E0">
              <w:rPr>
                <w:noProof/>
                <w:webHidden/>
              </w:rPr>
              <w:fldChar w:fldCharType="end"/>
            </w:r>
          </w:hyperlink>
        </w:p>
        <w:p w14:paraId="52B18851" w14:textId="3E46F241" w:rsidR="004037E0" w:rsidRDefault="00FC3DB4">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9667981" w:history="1">
            <w:r w:rsidR="004037E0" w:rsidRPr="004D2539">
              <w:rPr>
                <w:rStyle w:val="Hyperlink"/>
                <w:noProof/>
              </w:rPr>
              <w:t>Conclusion</w:t>
            </w:r>
            <w:r w:rsidR="004037E0">
              <w:rPr>
                <w:noProof/>
                <w:webHidden/>
              </w:rPr>
              <w:tab/>
            </w:r>
            <w:r w:rsidR="004037E0">
              <w:rPr>
                <w:noProof/>
                <w:webHidden/>
              </w:rPr>
              <w:fldChar w:fldCharType="begin"/>
            </w:r>
            <w:r w:rsidR="004037E0">
              <w:rPr>
                <w:noProof/>
                <w:webHidden/>
              </w:rPr>
              <w:instrText xml:space="preserve"> PAGEREF _Toc149667981 \h </w:instrText>
            </w:r>
            <w:r w:rsidR="004037E0">
              <w:rPr>
                <w:noProof/>
                <w:webHidden/>
              </w:rPr>
            </w:r>
            <w:r w:rsidR="004037E0">
              <w:rPr>
                <w:noProof/>
                <w:webHidden/>
              </w:rPr>
              <w:fldChar w:fldCharType="separate"/>
            </w:r>
            <w:r w:rsidR="00C8748D">
              <w:rPr>
                <w:noProof/>
                <w:webHidden/>
              </w:rPr>
              <w:t>24</w:t>
            </w:r>
            <w:r w:rsidR="004037E0">
              <w:rPr>
                <w:noProof/>
                <w:webHidden/>
              </w:rPr>
              <w:fldChar w:fldCharType="end"/>
            </w:r>
          </w:hyperlink>
        </w:p>
        <w:p w14:paraId="7FC7754C" w14:textId="21828C29" w:rsidR="004037E0" w:rsidRDefault="00FC3DB4">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49667982" w:history="1">
            <w:r w:rsidR="004037E0" w:rsidRPr="004D2539">
              <w:rPr>
                <w:rStyle w:val="Hyperlink"/>
                <w:rFonts w:cs="Helvetica"/>
                <w:noProof/>
              </w:rPr>
              <w:t>Attachment 1:  M</w:t>
            </w:r>
            <w:r w:rsidR="004037E0" w:rsidRPr="004D2539">
              <w:rPr>
                <w:rStyle w:val="Hyperlink"/>
                <w:noProof/>
              </w:rPr>
              <w:t>onthly intake survey</w:t>
            </w:r>
            <w:r w:rsidR="004037E0">
              <w:rPr>
                <w:noProof/>
                <w:webHidden/>
              </w:rPr>
              <w:tab/>
            </w:r>
            <w:r w:rsidR="004037E0">
              <w:rPr>
                <w:noProof/>
                <w:webHidden/>
              </w:rPr>
              <w:fldChar w:fldCharType="begin"/>
            </w:r>
            <w:r w:rsidR="004037E0">
              <w:rPr>
                <w:noProof/>
                <w:webHidden/>
              </w:rPr>
              <w:instrText xml:space="preserve"> PAGEREF _Toc149667982 \h </w:instrText>
            </w:r>
            <w:r w:rsidR="004037E0">
              <w:rPr>
                <w:noProof/>
                <w:webHidden/>
              </w:rPr>
            </w:r>
            <w:r w:rsidR="004037E0">
              <w:rPr>
                <w:noProof/>
                <w:webHidden/>
              </w:rPr>
              <w:fldChar w:fldCharType="separate"/>
            </w:r>
            <w:r w:rsidR="00C8748D">
              <w:rPr>
                <w:noProof/>
                <w:webHidden/>
              </w:rPr>
              <w:t>26</w:t>
            </w:r>
            <w:r w:rsidR="004037E0">
              <w:rPr>
                <w:noProof/>
                <w:webHidden/>
              </w:rPr>
              <w:fldChar w:fldCharType="end"/>
            </w:r>
          </w:hyperlink>
        </w:p>
        <w:p w14:paraId="20966088" w14:textId="21EBD7B4" w:rsidR="00E13748" w:rsidRDefault="00EB456F">
          <w:r>
            <w:rPr>
              <w:rFonts w:cstheme="minorHAnsi"/>
              <w:color w:val="003149"/>
              <w:sz w:val="28"/>
              <w:szCs w:val="28"/>
            </w:rPr>
            <w:fldChar w:fldCharType="end"/>
          </w:r>
        </w:p>
      </w:sdtContent>
    </w:sdt>
    <w:p w14:paraId="4401F76E" w14:textId="77777777" w:rsidR="00EB456F" w:rsidRDefault="00EB456F">
      <w:pPr>
        <w:rPr>
          <w:color w:val="002B45"/>
          <w:sz w:val="28"/>
          <w:szCs w:val="28"/>
        </w:rPr>
      </w:pPr>
      <w:r w:rsidRPr="006E108D">
        <w:rPr>
          <w:color w:val="002B45"/>
          <w:sz w:val="28"/>
          <w:szCs w:val="28"/>
        </w:rPr>
        <w:t>List of Figures and Tables</w:t>
      </w:r>
    </w:p>
    <w:p w14:paraId="6BC43547" w14:textId="1A5D5000" w:rsidR="004037E0" w:rsidRDefault="0046392D">
      <w:pPr>
        <w:pStyle w:val="TableofFigures"/>
        <w:tabs>
          <w:tab w:val="right" w:leader="dot" w:pos="9016"/>
        </w:tabs>
        <w:rPr>
          <w:rFonts w:asciiTheme="minorHAnsi" w:eastAsiaTheme="minorEastAsia" w:hAnsiTheme="minorHAnsi"/>
          <w:noProof/>
          <w:kern w:val="2"/>
          <w:sz w:val="22"/>
          <w:szCs w:val="22"/>
          <w:lang w:eastAsia="en-AU"/>
          <w14:ligatures w14:val="standardContextual"/>
        </w:rPr>
      </w:pPr>
      <w:r>
        <w:rPr>
          <w:color w:val="002B45"/>
          <w:sz w:val="28"/>
          <w:szCs w:val="28"/>
        </w:rPr>
        <w:fldChar w:fldCharType="begin"/>
      </w:r>
      <w:r>
        <w:rPr>
          <w:color w:val="002B45"/>
          <w:sz w:val="28"/>
          <w:szCs w:val="28"/>
        </w:rPr>
        <w:instrText xml:space="preserve"> TOC \h \z \c "Figure" </w:instrText>
      </w:r>
      <w:r>
        <w:rPr>
          <w:color w:val="002B45"/>
          <w:sz w:val="28"/>
          <w:szCs w:val="28"/>
        </w:rPr>
        <w:fldChar w:fldCharType="separate"/>
      </w:r>
      <w:hyperlink w:anchor="_Toc149667984" w:history="1">
        <w:r w:rsidR="004037E0" w:rsidRPr="00283AF1">
          <w:rPr>
            <w:rStyle w:val="Hyperlink"/>
            <w:noProof/>
          </w:rPr>
          <w:t>Figure 1: Trends in demand across the country from survey respondents: September 2021 – February 2022</w:t>
        </w:r>
        <w:r w:rsidR="004037E0">
          <w:rPr>
            <w:noProof/>
            <w:webHidden/>
          </w:rPr>
          <w:tab/>
        </w:r>
        <w:r w:rsidR="004037E0">
          <w:rPr>
            <w:noProof/>
            <w:webHidden/>
          </w:rPr>
          <w:fldChar w:fldCharType="begin"/>
        </w:r>
        <w:r w:rsidR="004037E0">
          <w:rPr>
            <w:noProof/>
            <w:webHidden/>
          </w:rPr>
          <w:instrText xml:space="preserve"> PAGEREF _Toc149667984 \h </w:instrText>
        </w:r>
        <w:r w:rsidR="004037E0">
          <w:rPr>
            <w:noProof/>
            <w:webHidden/>
          </w:rPr>
        </w:r>
        <w:r w:rsidR="004037E0">
          <w:rPr>
            <w:noProof/>
            <w:webHidden/>
          </w:rPr>
          <w:fldChar w:fldCharType="separate"/>
        </w:r>
        <w:r w:rsidR="00FC3DB4">
          <w:rPr>
            <w:noProof/>
            <w:webHidden/>
          </w:rPr>
          <w:t>6</w:t>
        </w:r>
        <w:r w:rsidR="004037E0">
          <w:rPr>
            <w:noProof/>
            <w:webHidden/>
          </w:rPr>
          <w:fldChar w:fldCharType="end"/>
        </w:r>
      </w:hyperlink>
    </w:p>
    <w:p w14:paraId="613CD46F" w14:textId="7B7F23C8" w:rsidR="004037E0" w:rsidRDefault="00FC3DB4">
      <w:pPr>
        <w:pStyle w:val="TableofFigures"/>
        <w:tabs>
          <w:tab w:val="right" w:leader="dot" w:pos="9016"/>
        </w:tabs>
        <w:rPr>
          <w:rFonts w:asciiTheme="minorHAnsi" w:eastAsiaTheme="minorEastAsia" w:hAnsiTheme="minorHAnsi"/>
          <w:noProof/>
          <w:kern w:val="2"/>
          <w:sz w:val="22"/>
          <w:szCs w:val="22"/>
          <w:lang w:eastAsia="en-AU"/>
          <w14:ligatures w14:val="standardContextual"/>
        </w:rPr>
      </w:pPr>
      <w:hyperlink w:anchor="_Toc149667985" w:history="1">
        <w:r w:rsidR="004037E0" w:rsidRPr="00283AF1">
          <w:rPr>
            <w:rStyle w:val="Hyperlink"/>
            <w:noProof/>
          </w:rPr>
          <w:t>Figure 2: Trends across all jurisdictions and funding streams (includes ineligible requests) – all requests for advocacy assistance: September 2021 – February 2022</w:t>
        </w:r>
        <w:r w:rsidR="004037E0">
          <w:rPr>
            <w:noProof/>
            <w:webHidden/>
          </w:rPr>
          <w:tab/>
        </w:r>
        <w:r w:rsidR="004037E0">
          <w:rPr>
            <w:noProof/>
            <w:webHidden/>
          </w:rPr>
          <w:fldChar w:fldCharType="begin"/>
        </w:r>
        <w:r w:rsidR="004037E0">
          <w:rPr>
            <w:noProof/>
            <w:webHidden/>
          </w:rPr>
          <w:instrText xml:space="preserve"> PAGEREF _Toc149667985 \h </w:instrText>
        </w:r>
        <w:r w:rsidR="004037E0">
          <w:rPr>
            <w:noProof/>
            <w:webHidden/>
          </w:rPr>
        </w:r>
        <w:r w:rsidR="004037E0">
          <w:rPr>
            <w:noProof/>
            <w:webHidden/>
          </w:rPr>
          <w:fldChar w:fldCharType="separate"/>
        </w:r>
        <w:r>
          <w:rPr>
            <w:noProof/>
            <w:webHidden/>
          </w:rPr>
          <w:t>15</w:t>
        </w:r>
        <w:r w:rsidR="004037E0">
          <w:rPr>
            <w:noProof/>
            <w:webHidden/>
          </w:rPr>
          <w:fldChar w:fldCharType="end"/>
        </w:r>
      </w:hyperlink>
    </w:p>
    <w:p w14:paraId="75AE9909" w14:textId="14CD2BDE" w:rsidR="004037E0" w:rsidRDefault="00FC3DB4">
      <w:pPr>
        <w:pStyle w:val="TableofFigures"/>
        <w:tabs>
          <w:tab w:val="right" w:leader="dot" w:pos="9016"/>
        </w:tabs>
        <w:rPr>
          <w:rFonts w:asciiTheme="minorHAnsi" w:eastAsiaTheme="minorEastAsia" w:hAnsiTheme="minorHAnsi"/>
          <w:noProof/>
          <w:kern w:val="2"/>
          <w:sz w:val="22"/>
          <w:szCs w:val="22"/>
          <w:lang w:eastAsia="en-AU"/>
          <w14:ligatures w14:val="standardContextual"/>
        </w:rPr>
      </w:pPr>
      <w:hyperlink w:anchor="_Toc149667986" w:history="1">
        <w:r w:rsidR="004037E0" w:rsidRPr="00283AF1">
          <w:rPr>
            <w:rStyle w:val="Hyperlink"/>
            <w:noProof/>
          </w:rPr>
          <w:t>Figure 3: Trends across all jurisdictions and funding streams – all requests for advocacy assistance: September 2021 – February 2022</w:t>
        </w:r>
        <w:r w:rsidR="004037E0">
          <w:rPr>
            <w:noProof/>
            <w:webHidden/>
          </w:rPr>
          <w:tab/>
        </w:r>
        <w:r w:rsidR="004037E0">
          <w:rPr>
            <w:noProof/>
            <w:webHidden/>
          </w:rPr>
          <w:fldChar w:fldCharType="begin"/>
        </w:r>
        <w:r w:rsidR="004037E0">
          <w:rPr>
            <w:noProof/>
            <w:webHidden/>
          </w:rPr>
          <w:instrText xml:space="preserve"> PAGEREF _Toc149667986 \h </w:instrText>
        </w:r>
        <w:r w:rsidR="004037E0">
          <w:rPr>
            <w:noProof/>
            <w:webHidden/>
          </w:rPr>
        </w:r>
        <w:r w:rsidR="004037E0">
          <w:rPr>
            <w:noProof/>
            <w:webHidden/>
          </w:rPr>
          <w:fldChar w:fldCharType="separate"/>
        </w:r>
        <w:r>
          <w:rPr>
            <w:noProof/>
            <w:webHidden/>
          </w:rPr>
          <w:t>15</w:t>
        </w:r>
        <w:r w:rsidR="004037E0">
          <w:rPr>
            <w:noProof/>
            <w:webHidden/>
          </w:rPr>
          <w:fldChar w:fldCharType="end"/>
        </w:r>
      </w:hyperlink>
    </w:p>
    <w:p w14:paraId="4631F1FE" w14:textId="346ED632" w:rsidR="004037E0" w:rsidRDefault="00FC3DB4">
      <w:pPr>
        <w:pStyle w:val="TableofFigures"/>
        <w:tabs>
          <w:tab w:val="right" w:leader="dot" w:pos="9016"/>
        </w:tabs>
        <w:rPr>
          <w:rFonts w:asciiTheme="minorHAnsi" w:eastAsiaTheme="minorEastAsia" w:hAnsiTheme="minorHAnsi"/>
          <w:noProof/>
          <w:kern w:val="2"/>
          <w:sz w:val="22"/>
          <w:szCs w:val="22"/>
          <w:lang w:eastAsia="en-AU"/>
          <w14:ligatures w14:val="standardContextual"/>
        </w:rPr>
      </w:pPr>
      <w:hyperlink w:anchor="_Toc149667987" w:history="1">
        <w:r w:rsidR="004037E0" w:rsidRPr="00283AF1">
          <w:rPr>
            <w:rStyle w:val="Hyperlink"/>
            <w:noProof/>
          </w:rPr>
          <w:t>Figure 4: Unmet demand and waitlist trends across all jurisdictions and funding streams: September 2021 – February 2022</w:t>
        </w:r>
        <w:r w:rsidR="004037E0">
          <w:rPr>
            <w:noProof/>
            <w:webHidden/>
          </w:rPr>
          <w:tab/>
        </w:r>
        <w:r w:rsidR="004037E0">
          <w:rPr>
            <w:noProof/>
            <w:webHidden/>
          </w:rPr>
          <w:fldChar w:fldCharType="begin"/>
        </w:r>
        <w:r w:rsidR="004037E0">
          <w:rPr>
            <w:noProof/>
            <w:webHidden/>
          </w:rPr>
          <w:instrText xml:space="preserve"> PAGEREF _Toc149667987 \h </w:instrText>
        </w:r>
        <w:r w:rsidR="004037E0">
          <w:rPr>
            <w:noProof/>
            <w:webHidden/>
          </w:rPr>
        </w:r>
        <w:r w:rsidR="004037E0">
          <w:rPr>
            <w:noProof/>
            <w:webHidden/>
          </w:rPr>
          <w:fldChar w:fldCharType="separate"/>
        </w:r>
        <w:r>
          <w:rPr>
            <w:noProof/>
            <w:webHidden/>
          </w:rPr>
          <w:t>16</w:t>
        </w:r>
        <w:r w:rsidR="004037E0">
          <w:rPr>
            <w:noProof/>
            <w:webHidden/>
          </w:rPr>
          <w:fldChar w:fldCharType="end"/>
        </w:r>
      </w:hyperlink>
    </w:p>
    <w:p w14:paraId="051D83B4" w14:textId="3805DE1E" w:rsidR="004037E0" w:rsidRDefault="00FC3DB4">
      <w:pPr>
        <w:pStyle w:val="TableofFigures"/>
        <w:tabs>
          <w:tab w:val="right" w:leader="dot" w:pos="9016"/>
        </w:tabs>
        <w:rPr>
          <w:rFonts w:asciiTheme="minorHAnsi" w:eastAsiaTheme="minorEastAsia" w:hAnsiTheme="minorHAnsi"/>
          <w:noProof/>
          <w:kern w:val="2"/>
          <w:sz w:val="22"/>
          <w:szCs w:val="22"/>
          <w:lang w:eastAsia="en-AU"/>
          <w14:ligatures w14:val="standardContextual"/>
        </w:rPr>
      </w:pPr>
      <w:hyperlink w:anchor="_Toc149667988" w:history="1">
        <w:r w:rsidR="004037E0" w:rsidRPr="00283AF1">
          <w:rPr>
            <w:rStyle w:val="Hyperlink"/>
            <w:noProof/>
          </w:rPr>
          <w:t>Figure 5: Unmet demand and waitlist trends across all jurisdictions and funding streams: September 2021 – February 2022</w:t>
        </w:r>
        <w:r w:rsidR="004037E0">
          <w:rPr>
            <w:noProof/>
            <w:webHidden/>
          </w:rPr>
          <w:tab/>
        </w:r>
        <w:r w:rsidR="004037E0">
          <w:rPr>
            <w:noProof/>
            <w:webHidden/>
          </w:rPr>
          <w:fldChar w:fldCharType="begin"/>
        </w:r>
        <w:r w:rsidR="004037E0">
          <w:rPr>
            <w:noProof/>
            <w:webHidden/>
          </w:rPr>
          <w:instrText xml:space="preserve"> PAGEREF _Toc149667988 \h </w:instrText>
        </w:r>
        <w:r w:rsidR="004037E0">
          <w:rPr>
            <w:noProof/>
            <w:webHidden/>
          </w:rPr>
        </w:r>
        <w:r w:rsidR="004037E0">
          <w:rPr>
            <w:noProof/>
            <w:webHidden/>
          </w:rPr>
          <w:fldChar w:fldCharType="separate"/>
        </w:r>
        <w:r>
          <w:rPr>
            <w:noProof/>
            <w:webHidden/>
          </w:rPr>
          <w:t>17</w:t>
        </w:r>
        <w:r w:rsidR="004037E0">
          <w:rPr>
            <w:noProof/>
            <w:webHidden/>
          </w:rPr>
          <w:fldChar w:fldCharType="end"/>
        </w:r>
      </w:hyperlink>
    </w:p>
    <w:p w14:paraId="58524F7B" w14:textId="6DFAB818" w:rsidR="004037E0" w:rsidRDefault="00FC3DB4">
      <w:pPr>
        <w:pStyle w:val="TableofFigures"/>
        <w:tabs>
          <w:tab w:val="right" w:leader="dot" w:pos="9016"/>
        </w:tabs>
        <w:rPr>
          <w:rFonts w:asciiTheme="minorHAnsi" w:eastAsiaTheme="minorEastAsia" w:hAnsiTheme="minorHAnsi"/>
          <w:noProof/>
          <w:kern w:val="2"/>
          <w:sz w:val="22"/>
          <w:szCs w:val="22"/>
          <w:lang w:eastAsia="en-AU"/>
          <w14:ligatures w14:val="standardContextual"/>
        </w:rPr>
      </w:pPr>
      <w:hyperlink w:anchor="_Toc149667989" w:history="1">
        <w:r w:rsidR="004037E0" w:rsidRPr="00283AF1">
          <w:rPr>
            <w:rStyle w:val="Hyperlink"/>
            <w:noProof/>
          </w:rPr>
          <w:t>Figure 6: Unmet demand and waitlist trends by funding streams: September 2021 – February 2022</w:t>
        </w:r>
        <w:r w:rsidR="004037E0">
          <w:rPr>
            <w:noProof/>
            <w:webHidden/>
          </w:rPr>
          <w:tab/>
        </w:r>
        <w:r w:rsidR="004037E0">
          <w:rPr>
            <w:noProof/>
            <w:webHidden/>
          </w:rPr>
          <w:fldChar w:fldCharType="begin"/>
        </w:r>
        <w:r w:rsidR="004037E0">
          <w:rPr>
            <w:noProof/>
            <w:webHidden/>
          </w:rPr>
          <w:instrText xml:space="preserve"> PAGEREF _Toc149667989 \h </w:instrText>
        </w:r>
        <w:r w:rsidR="004037E0">
          <w:rPr>
            <w:noProof/>
            <w:webHidden/>
          </w:rPr>
        </w:r>
        <w:r w:rsidR="004037E0">
          <w:rPr>
            <w:noProof/>
            <w:webHidden/>
          </w:rPr>
          <w:fldChar w:fldCharType="separate"/>
        </w:r>
        <w:r>
          <w:rPr>
            <w:noProof/>
            <w:webHidden/>
          </w:rPr>
          <w:t>17</w:t>
        </w:r>
        <w:r w:rsidR="004037E0">
          <w:rPr>
            <w:noProof/>
            <w:webHidden/>
          </w:rPr>
          <w:fldChar w:fldCharType="end"/>
        </w:r>
      </w:hyperlink>
    </w:p>
    <w:p w14:paraId="68BFF946" w14:textId="30D58110" w:rsidR="004037E0" w:rsidRDefault="00FC3DB4">
      <w:pPr>
        <w:pStyle w:val="TableofFigures"/>
        <w:tabs>
          <w:tab w:val="right" w:leader="dot" w:pos="9016"/>
        </w:tabs>
        <w:rPr>
          <w:rFonts w:asciiTheme="minorHAnsi" w:eastAsiaTheme="minorEastAsia" w:hAnsiTheme="minorHAnsi"/>
          <w:noProof/>
          <w:kern w:val="2"/>
          <w:sz w:val="22"/>
          <w:szCs w:val="22"/>
          <w:lang w:eastAsia="en-AU"/>
          <w14:ligatures w14:val="standardContextual"/>
        </w:rPr>
      </w:pPr>
      <w:hyperlink w:anchor="_Toc149667990" w:history="1">
        <w:r w:rsidR="004037E0" w:rsidRPr="00283AF1">
          <w:rPr>
            <w:rStyle w:val="Hyperlink"/>
            <w:noProof/>
          </w:rPr>
          <w:t>Figure 7: Unmet demand and waitlist trends – NDIS appeals: September 2021 – February 2022</w:t>
        </w:r>
        <w:r w:rsidR="004037E0">
          <w:rPr>
            <w:noProof/>
            <w:webHidden/>
          </w:rPr>
          <w:tab/>
        </w:r>
        <w:r w:rsidR="004037E0">
          <w:rPr>
            <w:noProof/>
            <w:webHidden/>
          </w:rPr>
          <w:fldChar w:fldCharType="begin"/>
        </w:r>
        <w:r w:rsidR="004037E0">
          <w:rPr>
            <w:noProof/>
            <w:webHidden/>
          </w:rPr>
          <w:instrText xml:space="preserve"> PAGEREF _Toc149667990 \h </w:instrText>
        </w:r>
        <w:r w:rsidR="004037E0">
          <w:rPr>
            <w:noProof/>
            <w:webHidden/>
          </w:rPr>
        </w:r>
        <w:r w:rsidR="004037E0">
          <w:rPr>
            <w:noProof/>
            <w:webHidden/>
          </w:rPr>
          <w:fldChar w:fldCharType="separate"/>
        </w:r>
        <w:r>
          <w:rPr>
            <w:noProof/>
            <w:webHidden/>
          </w:rPr>
          <w:t>18</w:t>
        </w:r>
        <w:r w:rsidR="004037E0">
          <w:rPr>
            <w:noProof/>
            <w:webHidden/>
          </w:rPr>
          <w:fldChar w:fldCharType="end"/>
        </w:r>
      </w:hyperlink>
    </w:p>
    <w:p w14:paraId="27CAD93C" w14:textId="2B897F87" w:rsidR="004037E0" w:rsidRDefault="00FC3DB4">
      <w:pPr>
        <w:pStyle w:val="TableofFigures"/>
        <w:tabs>
          <w:tab w:val="right" w:leader="dot" w:pos="9016"/>
        </w:tabs>
        <w:rPr>
          <w:rFonts w:asciiTheme="minorHAnsi" w:eastAsiaTheme="minorEastAsia" w:hAnsiTheme="minorHAnsi"/>
          <w:noProof/>
          <w:kern w:val="2"/>
          <w:sz w:val="22"/>
          <w:szCs w:val="22"/>
          <w:lang w:eastAsia="en-AU"/>
          <w14:ligatures w14:val="standardContextual"/>
        </w:rPr>
      </w:pPr>
      <w:hyperlink w:anchor="_Toc149667991" w:history="1">
        <w:r w:rsidR="004037E0" w:rsidRPr="00283AF1">
          <w:rPr>
            <w:rStyle w:val="Hyperlink"/>
            <w:noProof/>
          </w:rPr>
          <w:t>Figure 8: Unmet demand and waitlist trends - NDIS appeals: September 2021 – February 2022</w:t>
        </w:r>
        <w:r w:rsidR="004037E0">
          <w:rPr>
            <w:noProof/>
            <w:webHidden/>
          </w:rPr>
          <w:tab/>
        </w:r>
        <w:r w:rsidR="004037E0">
          <w:rPr>
            <w:noProof/>
            <w:webHidden/>
          </w:rPr>
          <w:fldChar w:fldCharType="begin"/>
        </w:r>
        <w:r w:rsidR="004037E0">
          <w:rPr>
            <w:noProof/>
            <w:webHidden/>
          </w:rPr>
          <w:instrText xml:space="preserve"> PAGEREF _Toc149667991 \h </w:instrText>
        </w:r>
        <w:r w:rsidR="004037E0">
          <w:rPr>
            <w:noProof/>
            <w:webHidden/>
          </w:rPr>
        </w:r>
        <w:r w:rsidR="004037E0">
          <w:rPr>
            <w:noProof/>
            <w:webHidden/>
          </w:rPr>
          <w:fldChar w:fldCharType="separate"/>
        </w:r>
        <w:r>
          <w:rPr>
            <w:noProof/>
            <w:webHidden/>
          </w:rPr>
          <w:t>19</w:t>
        </w:r>
        <w:r w:rsidR="004037E0">
          <w:rPr>
            <w:noProof/>
            <w:webHidden/>
          </w:rPr>
          <w:fldChar w:fldCharType="end"/>
        </w:r>
      </w:hyperlink>
    </w:p>
    <w:p w14:paraId="2BFC8E5E" w14:textId="0B4870B7" w:rsidR="004037E0" w:rsidRDefault="00FC3DB4">
      <w:pPr>
        <w:pStyle w:val="TableofFigures"/>
        <w:tabs>
          <w:tab w:val="right" w:leader="dot" w:pos="9016"/>
        </w:tabs>
        <w:rPr>
          <w:rFonts w:asciiTheme="minorHAnsi" w:eastAsiaTheme="minorEastAsia" w:hAnsiTheme="minorHAnsi"/>
          <w:noProof/>
          <w:kern w:val="2"/>
          <w:sz w:val="22"/>
          <w:szCs w:val="22"/>
          <w:lang w:eastAsia="en-AU"/>
          <w14:ligatures w14:val="standardContextual"/>
        </w:rPr>
      </w:pPr>
      <w:hyperlink w:anchor="_Toc149667992" w:history="1">
        <w:r w:rsidR="004037E0" w:rsidRPr="00283AF1">
          <w:rPr>
            <w:rStyle w:val="Hyperlink"/>
            <w:noProof/>
          </w:rPr>
          <w:t>Figure 9: Total days books closed by month: September 2021 – February 2022</w:t>
        </w:r>
        <w:r w:rsidR="004037E0">
          <w:rPr>
            <w:noProof/>
            <w:webHidden/>
          </w:rPr>
          <w:tab/>
        </w:r>
        <w:r w:rsidR="004037E0">
          <w:rPr>
            <w:noProof/>
            <w:webHidden/>
          </w:rPr>
          <w:fldChar w:fldCharType="begin"/>
        </w:r>
        <w:r w:rsidR="004037E0">
          <w:rPr>
            <w:noProof/>
            <w:webHidden/>
          </w:rPr>
          <w:instrText xml:space="preserve"> PAGEREF _Toc149667992 \h </w:instrText>
        </w:r>
        <w:r w:rsidR="004037E0">
          <w:rPr>
            <w:noProof/>
            <w:webHidden/>
          </w:rPr>
        </w:r>
        <w:r w:rsidR="004037E0">
          <w:rPr>
            <w:noProof/>
            <w:webHidden/>
          </w:rPr>
          <w:fldChar w:fldCharType="separate"/>
        </w:r>
        <w:r>
          <w:rPr>
            <w:noProof/>
            <w:webHidden/>
          </w:rPr>
          <w:t>20</w:t>
        </w:r>
        <w:r w:rsidR="004037E0">
          <w:rPr>
            <w:noProof/>
            <w:webHidden/>
          </w:rPr>
          <w:fldChar w:fldCharType="end"/>
        </w:r>
      </w:hyperlink>
    </w:p>
    <w:p w14:paraId="12EE6F23" w14:textId="16B67EF7" w:rsidR="004037E0" w:rsidRDefault="00FC3DB4">
      <w:pPr>
        <w:pStyle w:val="TableofFigures"/>
        <w:tabs>
          <w:tab w:val="right" w:leader="dot" w:pos="9016"/>
        </w:tabs>
        <w:rPr>
          <w:rFonts w:asciiTheme="minorHAnsi" w:eastAsiaTheme="minorEastAsia" w:hAnsiTheme="minorHAnsi"/>
          <w:noProof/>
          <w:kern w:val="2"/>
          <w:sz w:val="22"/>
          <w:szCs w:val="22"/>
          <w:lang w:eastAsia="en-AU"/>
          <w14:ligatures w14:val="standardContextual"/>
        </w:rPr>
      </w:pPr>
      <w:hyperlink w:anchor="_Toc149667993" w:history="1">
        <w:r w:rsidR="004037E0" w:rsidRPr="00283AF1">
          <w:rPr>
            <w:rStyle w:val="Hyperlink"/>
            <w:noProof/>
          </w:rPr>
          <w:t xml:space="preserve">Figure 10: </w:t>
        </w:r>
        <w:r w:rsidR="004037E0" w:rsidRPr="00283AF1">
          <w:rPr>
            <w:rStyle w:val="Hyperlink"/>
            <w:noProof/>
            <w:lang w:val="en-US"/>
          </w:rPr>
          <w:t>People provided with information who did not become advocacy clients</w:t>
        </w:r>
        <w:r w:rsidR="004037E0">
          <w:rPr>
            <w:noProof/>
            <w:webHidden/>
          </w:rPr>
          <w:tab/>
        </w:r>
        <w:r w:rsidR="004037E0">
          <w:rPr>
            <w:noProof/>
            <w:webHidden/>
          </w:rPr>
          <w:fldChar w:fldCharType="begin"/>
        </w:r>
        <w:r w:rsidR="004037E0">
          <w:rPr>
            <w:noProof/>
            <w:webHidden/>
          </w:rPr>
          <w:instrText xml:space="preserve"> PAGEREF _Toc149667993 \h </w:instrText>
        </w:r>
        <w:r w:rsidR="004037E0">
          <w:rPr>
            <w:noProof/>
            <w:webHidden/>
          </w:rPr>
        </w:r>
        <w:r w:rsidR="004037E0">
          <w:rPr>
            <w:noProof/>
            <w:webHidden/>
          </w:rPr>
          <w:fldChar w:fldCharType="separate"/>
        </w:r>
        <w:r>
          <w:rPr>
            <w:noProof/>
            <w:webHidden/>
          </w:rPr>
          <w:t>21</w:t>
        </w:r>
        <w:r w:rsidR="004037E0">
          <w:rPr>
            <w:noProof/>
            <w:webHidden/>
          </w:rPr>
          <w:fldChar w:fldCharType="end"/>
        </w:r>
      </w:hyperlink>
    </w:p>
    <w:p w14:paraId="21F38243" w14:textId="77777777" w:rsidR="004037E0" w:rsidRDefault="0046392D" w:rsidP="006E108D">
      <w:pPr>
        <w:pStyle w:val="TableofFigures"/>
        <w:tabs>
          <w:tab w:val="right" w:leader="dot" w:pos="9016"/>
        </w:tabs>
        <w:rPr>
          <w:noProof/>
        </w:rPr>
      </w:pPr>
      <w:r>
        <w:rPr>
          <w:color w:val="002B45"/>
          <w:sz w:val="28"/>
          <w:szCs w:val="28"/>
        </w:rPr>
        <w:fldChar w:fldCharType="end"/>
      </w:r>
      <w:r w:rsidR="002B601A">
        <w:rPr>
          <w:color w:val="002B45"/>
          <w:sz w:val="28"/>
          <w:szCs w:val="28"/>
        </w:rPr>
        <w:fldChar w:fldCharType="begin"/>
      </w:r>
      <w:r w:rsidR="002B601A">
        <w:rPr>
          <w:color w:val="002B45"/>
          <w:sz w:val="28"/>
          <w:szCs w:val="28"/>
        </w:rPr>
        <w:instrText xml:space="preserve"> TOC \h \z \c "Table" </w:instrText>
      </w:r>
      <w:r w:rsidR="002B601A">
        <w:rPr>
          <w:color w:val="002B45"/>
          <w:sz w:val="28"/>
          <w:szCs w:val="28"/>
        </w:rPr>
        <w:fldChar w:fldCharType="separate"/>
      </w:r>
    </w:p>
    <w:p w14:paraId="4048D75B" w14:textId="27B49166" w:rsidR="004037E0" w:rsidRDefault="00FC3DB4">
      <w:pPr>
        <w:pStyle w:val="TableofFigures"/>
        <w:tabs>
          <w:tab w:val="right" w:leader="dot" w:pos="9016"/>
        </w:tabs>
        <w:rPr>
          <w:rFonts w:asciiTheme="minorHAnsi" w:eastAsiaTheme="minorEastAsia" w:hAnsiTheme="minorHAnsi"/>
          <w:noProof/>
          <w:kern w:val="2"/>
          <w:sz w:val="22"/>
          <w:szCs w:val="22"/>
          <w:lang w:eastAsia="en-AU"/>
          <w14:ligatures w14:val="standardContextual"/>
        </w:rPr>
      </w:pPr>
      <w:hyperlink w:anchor="_Toc149667994" w:history="1">
        <w:r w:rsidR="004037E0" w:rsidRPr="00FE3AD5">
          <w:rPr>
            <w:rStyle w:val="Hyperlink"/>
            <w:noProof/>
          </w:rPr>
          <w:t>Table 1: Trends in demand – monthly requests for advocacy support: September 2021 – February 2022</w:t>
        </w:r>
        <w:r w:rsidR="004037E0">
          <w:rPr>
            <w:noProof/>
            <w:webHidden/>
          </w:rPr>
          <w:tab/>
        </w:r>
        <w:r w:rsidR="004037E0">
          <w:rPr>
            <w:noProof/>
            <w:webHidden/>
          </w:rPr>
          <w:fldChar w:fldCharType="begin"/>
        </w:r>
        <w:r w:rsidR="004037E0">
          <w:rPr>
            <w:noProof/>
            <w:webHidden/>
          </w:rPr>
          <w:instrText xml:space="preserve"> PAGEREF _Toc149667994 \h </w:instrText>
        </w:r>
        <w:r w:rsidR="004037E0">
          <w:rPr>
            <w:noProof/>
            <w:webHidden/>
          </w:rPr>
        </w:r>
        <w:r w:rsidR="004037E0">
          <w:rPr>
            <w:noProof/>
            <w:webHidden/>
          </w:rPr>
          <w:fldChar w:fldCharType="separate"/>
        </w:r>
        <w:r>
          <w:rPr>
            <w:noProof/>
            <w:webHidden/>
          </w:rPr>
          <w:t>14</w:t>
        </w:r>
        <w:r w:rsidR="004037E0">
          <w:rPr>
            <w:noProof/>
            <w:webHidden/>
          </w:rPr>
          <w:fldChar w:fldCharType="end"/>
        </w:r>
      </w:hyperlink>
    </w:p>
    <w:p w14:paraId="457A96D9" w14:textId="4F56A879" w:rsidR="004037E0" w:rsidRPr="004037E0" w:rsidRDefault="00FC3DB4">
      <w:pPr>
        <w:pStyle w:val="TableofFigures"/>
        <w:tabs>
          <w:tab w:val="right" w:leader="dot" w:pos="9016"/>
        </w:tabs>
        <w:rPr>
          <w:rFonts w:asciiTheme="minorHAnsi" w:eastAsiaTheme="minorEastAsia" w:hAnsiTheme="minorHAnsi"/>
          <w:noProof/>
          <w:kern w:val="2"/>
          <w:sz w:val="22"/>
          <w:szCs w:val="22"/>
          <w:lang w:eastAsia="en-AU"/>
          <w14:ligatures w14:val="standardContextual"/>
        </w:rPr>
      </w:pPr>
      <w:hyperlink w:anchor="_Toc149667995" w:history="1">
        <w:r w:rsidR="004037E0" w:rsidRPr="004037E0">
          <w:rPr>
            <w:rStyle w:val="Hyperlink"/>
            <w:rFonts w:eastAsiaTheme="majorEastAsia" w:cstheme="majorBidi"/>
            <w:noProof/>
          </w:rPr>
          <w:t>Table 2: Unmet demand and waitlist trends across all jurisdictions and funding streams: September 2021 – February 2022</w:t>
        </w:r>
        <w:r w:rsidR="004037E0" w:rsidRPr="004037E0">
          <w:rPr>
            <w:noProof/>
            <w:webHidden/>
          </w:rPr>
          <w:tab/>
        </w:r>
        <w:r w:rsidR="004037E0" w:rsidRPr="004037E0">
          <w:rPr>
            <w:noProof/>
            <w:webHidden/>
          </w:rPr>
          <w:fldChar w:fldCharType="begin"/>
        </w:r>
        <w:r w:rsidR="004037E0" w:rsidRPr="004037E0">
          <w:rPr>
            <w:noProof/>
            <w:webHidden/>
          </w:rPr>
          <w:instrText xml:space="preserve"> PAGEREF _Toc149667995 \h </w:instrText>
        </w:r>
        <w:r w:rsidR="004037E0" w:rsidRPr="004037E0">
          <w:rPr>
            <w:noProof/>
            <w:webHidden/>
          </w:rPr>
        </w:r>
        <w:r w:rsidR="004037E0" w:rsidRPr="004037E0">
          <w:rPr>
            <w:noProof/>
            <w:webHidden/>
          </w:rPr>
          <w:fldChar w:fldCharType="separate"/>
        </w:r>
        <w:r>
          <w:rPr>
            <w:noProof/>
            <w:webHidden/>
          </w:rPr>
          <w:t>16</w:t>
        </w:r>
        <w:r w:rsidR="004037E0" w:rsidRPr="004037E0">
          <w:rPr>
            <w:noProof/>
            <w:webHidden/>
          </w:rPr>
          <w:fldChar w:fldCharType="end"/>
        </w:r>
      </w:hyperlink>
    </w:p>
    <w:p w14:paraId="0AF9E60A" w14:textId="60B8AF6A" w:rsidR="004037E0" w:rsidRPr="004037E0" w:rsidRDefault="00FC3DB4">
      <w:pPr>
        <w:pStyle w:val="TableofFigures"/>
        <w:tabs>
          <w:tab w:val="right" w:leader="dot" w:pos="9016"/>
        </w:tabs>
        <w:rPr>
          <w:rFonts w:asciiTheme="minorHAnsi" w:eastAsiaTheme="minorEastAsia" w:hAnsiTheme="minorHAnsi"/>
          <w:noProof/>
          <w:kern w:val="2"/>
          <w:sz w:val="22"/>
          <w:szCs w:val="22"/>
          <w:lang w:eastAsia="en-AU"/>
          <w14:ligatures w14:val="standardContextual"/>
        </w:rPr>
      </w:pPr>
      <w:hyperlink w:anchor="_Toc149667996" w:history="1">
        <w:r w:rsidR="004037E0" w:rsidRPr="004037E0">
          <w:rPr>
            <w:rStyle w:val="Hyperlink"/>
            <w:noProof/>
          </w:rPr>
          <w:t>Table 3: Unmet demand and waitlist trends by funding streams: September 2021 – February 2022</w:t>
        </w:r>
        <w:r w:rsidR="004037E0" w:rsidRPr="004037E0">
          <w:rPr>
            <w:noProof/>
            <w:webHidden/>
          </w:rPr>
          <w:tab/>
        </w:r>
        <w:r w:rsidR="004037E0" w:rsidRPr="004037E0">
          <w:rPr>
            <w:noProof/>
            <w:webHidden/>
          </w:rPr>
          <w:fldChar w:fldCharType="begin"/>
        </w:r>
        <w:r w:rsidR="004037E0" w:rsidRPr="004037E0">
          <w:rPr>
            <w:noProof/>
            <w:webHidden/>
          </w:rPr>
          <w:instrText xml:space="preserve"> PAGEREF _Toc149667996 \h </w:instrText>
        </w:r>
        <w:r w:rsidR="004037E0" w:rsidRPr="004037E0">
          <w:rPr>
            <w:noProof/>
            <w:webHidden/>
          </w:rPr>
        </w:r>
        <w:r w:rsidR="004037E0" w:rsidRPr="004037E0">
          <w:rPr>
            <w:noProof/>
            <w:webHidden/>
          </w:rPr>
          <w:fldChar w:fldCharType="separate"/>
        </w:r>
        <w:r>
          <w:rPr>
            <w:noProof/>
            <w:webHidden/>
          </w:rPr>
          <w:t>18</w:t>
        </w:r>
        <w:r w:rsidR="004037E0" w:rsidRPr="004037E0">
          <w:rPr>
            <w:noProof/>
            <w:webHidden/>
          </w:rPr>
          <w:fldChar w:fldCharType="end"/>
        </w:r>
      </w:hyperlink>
    </w:p>
    <w:p w14:paraId="2FFAD3FE" w14:textId="768381C1" w:rsidR="004037E0" w:rsidRDefault="00FC3DB4">
      <w:pPr>
        <w:pStyle w:val="TableofFigures"/>
        <w:tabs>
          <w:tab w:val="right" w:leader="dot" w:pos="9016"/>
        </w:tabs>
        <w:rPr>
          <w:rFonts w:asciiTheme="minorHAnsi" w:eastAsiaTheme="minorEastAsia" w:hAnsiTheme="minorHAnsi"/>
          <w:noProof/>
          <w:kern w:val="2"/>
          <w:sz w:val="22"/>
          <w:szCs w:val="22"/>
          <w:lang w:eastAsia="en-AU"/>
          <w14:ligatures w14:val="standardContextual"/>
        </w:rPr>
      </w:pPr>
      <w:hyperlink w:anchor="_Toc149667997" w:history="1">
        <w:r w:rsidR="004037E0" w:rsidRPr="00FE3AD5">
          <w:rPr>
            <w:rStyle w:val="Hyperlink"/>
            <w:noProof/>
          </w:rPr>
          <w:t>Table 4: Total days books closed and organisations that closed their books by month: September 2021 – February 2022</w:t>
        </w:r>
        <w:r w:rsidR="004037E0">
          <w:rPr>
            <w:noProof/>
            <w:webHidden/>
          </w:rPr>
          <w:tab/>
        </w:r>
        <w:r w:rsidR="004037E0">
          <w:rPr>
            <w:noProof/>
            <w:webHidden/>
          </w:rPr>
          <w:fldChar w:fldCharType="begin"/>
        </w:r>
        <w:r w:rsidR="004037E0">
          <w:rPr>
            <w:noProof/>
            <w:webHidden/>
          </w:rPr>
          <w:instrText xml:space="preserve"> PAGEREF _Toc149667997 \h </w:instrText>
        </w:r>
        <w:r w:rsidR="004037E0">
          <w:rPr>
            <w:noProof/>
            <w:webHidden/>
          </w:rPr>
        </w:r>
        <w:r w:rsidR="004037E0">
          <w:rPr>
            <w:noProof/>
            <w:webHidden/>
          </w:rPr>
          <w:fldChar w:fldCharType="separate"/>
        </w:r>
        <w:r>
          <w:rPr>
            <w:noProof/>
            <w:webHidden/>
          </w:rPr>
          <w:t>19</w:t>
        </w:r>
        <w:r w:rsidR="004037E0">
          <w:rPr>
            <w:noProof/>
            <w:webHidden/>
          </w:rPr>
          <w:fldChar w:fldCharType="end"/>
        </w:r>
      </w:hyperlink>
    </w:p>
    <w:p w14:paraId="78D5C463" w14:textId="77777777" w:rsidR="0046392D" w:rsidRDefault="002B601A" w:rsidP="0046392D">
      <w:pPr>
        <w:rPr>
          <w:color w:val="002B45"/>
          <w:sz w:val="28"/>
          <w:szCs w:val="28"/>
        </w:rPr>
      </w:pPr>
      <w:r>
        <w:rPr>
          <w:color w:val="002B45"/>
          <w:sz w:val="28"/>
          <w:szCs w:val="28"/>
        </w:rPr>
        <w:fldChar w:fldCharType="end"/>
      </w:r>
    </w:p>
    <w:p w14:paraId="2104BE53" w14:textId="77777777" w:rsidR="00B07D03" w:rsidRPr="00EA661F" w:rsidRDefault="009C2DF5" w:rsidP="006E108D">
      <w:pPr>
        <w:rPr>
          <w:i/>
          <w:iCs/>
          <w:color w:val="002B45"/>
          <w:sz w:val="36"/>
          <w:szCs w:val="36"/>
        </w:rPr>
      </w:pPr>
      <w:r w:rsidRPr="00EA661F">
        <w:rPr>
          <w:rFonts w:hint="cs"/>
          <w:color w:val="002B45"/>
          <w:sz w:val="36"/>
          <w:szCs w:val="36"/>
        </w:rPr>
        <w:lastRenderedPageBreak/>
        <w:t>Acknowledgements</w:t>
      </w:r>
    </w:p>
    <w:p w14:paraId="4E064068" w14:textId="42D82318" w:rsidR="00B07D03" w:rsidRDefault="005204AF" w:rsidP="00C13E2C">
      <w:r>
        <w:t>Disability Advocacy Network Australia (</w:t>
      </w:r>
      <w:r w:rsidR="007A539D">
        <w:t>DANA</w:t>
      </w:r>
      <w:r>
        <w:t>)</w:t>
      </w:r>
      <w:r w:rsidR="007A539D">
        <w:t xml:space="preserve"> would </w:t>
      </w:r>
      <w:r w:rsidR="00596269">
        <w:t xml:space="preserve">like </w:t>
      </w:r>
      <w:r w:rsidR="003C3989">
        <w:t xml:space="preserve">to thank the </w:t>
      </w:r>
      <w:r w:rsidR="00C728CD">
        <w:t>Department of Social Services</w:t>
      </w:r>
      <w:r>
        <w:t xml:space="preserve"> (DSS)</w:t>
      </w:r>
      <w:r w:rsidR="00C728CD">
        <w:t xml:space="preserve"> for funding this project. </w:t>
      </w:r>
    </w:p>
    <w:p w14:paraId="60E1AFD8" w14:textId="3060031A" w:rsidR="003605C0" w:rsidRDefault="00C728CD" w:rsidP="00C13E2C">
      <w:r>
        <w:t xml:space="preserve">We would also like to gratefully acknowledge the numerous </w:t>
      </w:r>
      <w:r w:rsidR="003C3989">
        <w:t>organisations</w:t>
      </w:r>
      <w:r w:rsidR="003407F7">
        <w:t xml:space="preserve"> and</w:t>
      </w:r>
      <w:r w:rsidR="00921703">
        <w:t xml:space="preserve"> individuals </w:t>
      </w:r>
      <w:r>
        <w:t>who gave us the gift of their time</w:t>
      </w:r>
      <w:r w:rsidR="00B07D03">
        <w:t>,</w:t>
      </w:r>
      <w:r>
        <w:t xml:space="preserve"> </w:t>
      </w:r>
      <w:r w:rsidR="00BF72C7">
        <w:t>expertise,</w:t>
      </w:r>
      <w:r>
        <w:t xml:space="preserve"> </w:t>
      </w:r>
      <w:r w:rsidR="00B07D03">
        <w:t xml:space="preserve">and resources </w:t>
      </w:r>
      <w:r>
        <w:t xml:space="preserve">in contributing </w:t>
      </w:r>
      <w:r w:rsidR="00B31317">
        <w:t xml:space="preserve">to this report and </w:t>
      </w:r>
      <w:r w:rsidR="00A76B27">
        <w:t xml:space="preserve">the </w:t>
      </w:r>
      <w:r w:rsidR="00A76B27" w:rsidRPr="006A0943">
        <w:rPr>
          <w:i/>
          <w:iCs/>
        </w:rPr>
        <w:t>I</w:t>
      </w:r>
      <w:r w:rsidR="00D91435" w:rsidRPr="006A0943">
        <w:rPr>
          <w:i/>
          <w:iCs/>
        </w:rPr>
        <w:t xml:space="preserve">ntake Reference </w:t>
      </w:r>
      <w:r w:rsidR="005204AF" w:rsidRPr="006A0943">
        <w:rPr>
          <w:i/>
          <w:iCs/>
        </w:rPr>
        <w:t>G</w:t>
      </w:r>
      <w:r w:rsidR="00D91435" w:rsidRPr="006A0943">
        <w:rPr>
          <w:i/>
          <w:iCs/>
        </w:rPr>
        <w:t>uide</w:t>
      </w:r>
      <w:r w:rsidR="00D91435">
        <w:t xml:space="preserve">. </w:t>
      </w:r>
    </w:p>
    <w:p w14:paraId="4D23D80C" w14:textId="4419B61D" w:rsidR="00B07D03" w:rsidRDefault="00B07D03" w:rsidP="00C13E2C">
      <w:r>
        <w:t>We would like to thank Sara Franzoni (as Project Lead) as well as Mary Mallet</w:t>
      </w:r>
      <w:r w:rsidR="00F639BB">
        <w:t>t</w:t>
      </w:r>
      <w:r>
        <w:t>, Siobhan Clair and Anna Lienhop from DANA for their significant effort in putting the report together.</w:t>
      </w:r>
    </w:p>
    <w:p w14:paraId="73241162" w14:textId="77777777" w:rsidR="000B0D47" w:rsidRPr="00EA661F" w:rsidRDefault="009C219F" w:rsidP="00EB456F">
      <w:pPr>
        <w:pStyle w:val="Heading4"/>
        <w:spacing w:before="360"/>
        <w:rPr>
          <w:i w:val="0"/>
          <w:iCs w:val="0"/>
          <w:sz w:val="36"/>
          <w:szCs w:val="36"/>
        </w:rPr>
      </w:pPr>
      <w:r w:rsidRPr="00EA661F">
        <w:rPr>
          <w:i w:val="0"/>
          <w:iCs w:val="0"/>
          <w:sz w:val="36"/>
          <w:szCs w:val="36"/>
        </w:rPr>
        <w:t>About DANA</w:t>
      </w:r>
    </w:p>
    <w:p w14:paraId="49BBD250" w14:textId="77777777" w:rsidR="00035823" w:rsidRDefault="009C219F" w:rsidP="00C13E2C">
      <w:r w:rsidRPr="009C219F">
        <w:t>DANA is the national representative body for a member network of over 70 independent disability advocacy organisations throughout Australia. In this role, DANA has consulted and liaised routinely with the sector over the last decade and is familiar with the breadth and depth of the work performed by disability advocacy organisations around Australia.</w:t>
      </w:r>
    </w:p>
    <w:p w14:paraId="45802EB0" w14:textId="77777777" w:rsidR="00113DEE" w:rsidRDefault="00113DEE"/>
    <w:p w14:paraId="618BF7CB" w14:textId="77777777" w:rsidR="00AA5DC1" w:rsidRDefault="00AA5DC1" w:rsidP="00BE45B4"/>
    <w:p w14:paraId="51AE0920" w14:textId="77777777" w:rsidR="00AA5DC1" w:rsidRDefault="00AA5DC1" w:rsidP="00BE45B4"/>
    <w:p w14:paraId="1CA0FD6C" w14:textId="77777777" w:rsidR="00AA5DC1" w:rsidRDefault="00AA5DC1" w:rsidP="00BE45B4"/>
    <w:p w14:paraId="6726E82E" w14:textId="77777777" w:rsidR="00AA5DC1" w:rsidRDefault="00AA5DC1" w:rsidP="00BE45B4"/>
    <w:p w14:paraId="5AA625A5" w14:textId="77777777" w:rsidR="00AA5DC1" w:rsidRDefault="00AA5DC1" w:rsidP="00BE45B4"/>
    <w:p w14:paraId="32FF0B3A" w14:textId="77777777" w:rsidR="00F972C6" w:rsidRDefault="00F972C6">
      <w:r>
        <w:br w:type="page"/>
      </w:r>
    </w:p>
    <w:p w14:paraId="7D5E7334" w14:textId="77777777" w:rsidR="007F4AB5" w:rsidRPr="00EA661F" w:rsidRDefault="007F4AB5" w:rsidP="00953FB8">
      <w:pPr>
        <w:pStyle w:val="Heading1"/>
        <w:spacing w:before="0"/>
      </w:pPr>
      <w:bookmarkStart w:id="0" w:name="_Toc149667967"/>
      <w:r w:rsidRPr="00EA661F">
        <w:lastRenderedPageBreak/>
        <w:t>Glossary</w:t>
      </w:r>
      <w:bookmarkEnd w:id="0"/>
    </w:p>
    <w:tbl>
      <w:tblPr>
        <w:tblStyle w:val="PlainTable2"/>
        <w:tblW w:w="9350" w:type="dxa"/>
        <w:tblLook w:val="04A0" w:firstRow="1" w:lastRow="0" w:firstColumn="1" w:lastColumn="0" w:noHBand="0" w:noVBand="1"/>
      </w:tblPr>
      <w:tblGrid>
        <w:gridCol w:w="2122"/>
        <w:gridCol w:w="7228"/>
      </w:tblGrid>
      <w:tr w:rsidR="007F4AB5" w:rsidRPr="00DD1657" w14:paraId="547EE795" w14:textId="77777777" w:rsidTr="00617F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0A253E"/>
          </w:tcPr>
          <w:p w14:paraId="2B768881" w14:textId="77777777" w:rsidR="007F4AB5" w:rsidRPr="00953FB8" w:rsidRDefault="00110B87" w:rsidP="00C46E28">
            <w:pPr>
              <w:spacing w:before="20" w:after="20"/>
              <w:rPr>
                <w:rFonts w:cs="Helvetica"/>
                <w:b w:val="0"/>
                <w:bCs w:val="0"/>
                <w:sz w:val="21"/>
                <w:szCs w:val="20"/>
              </w:rPr>
            </w:pPr>
            <w:bookmarkStart w:id="1" w:name="_Hlk132879564"/>
            <w:bookmarkStart w:id="2" w:name="_Hlk132879696"/>
            <w:r w:rsidRPr="00953FB8">
              <w:rPr>
                <w:rFonts w:cs="Helvetica"/>
                <w:sz w:val="21"/>
                <w:szCs w:val="20"/>
              </w:rPr>
              <w:t>Terms</w:t>
            </w:r>
          </w:p>
        </w:tc>
        <w:tc>
          <w:tcPr>
            <w:tcW w:w="7228" w:type="dxa"/>
            <w:shd w:val="clear" w:color="auto" w:fill="0A253E"/>
          </w:tcPr>
          <w:p w14:paraId="7D5F8504" w14:textId="77777777" w:rsidR="007F4AB5" w:rsidRPr="00953FB8" w:rsidRDefault="007F4AB5" w:rsidP="00C46E28">
            <w:pPr>
              <w:spacing w:before="20" w:after="20"/>
              <w:cnfStyle w:val="100000000000" w:firstRow="1" w:lastRow="0" w:firstColumn="0" w:lastColumn="0" w:oddVBand="0" w:evenVBand="0" w:oddHBand="0" w:evenHBand="0" w:firstRowFirstColumn="0" w:firstRowLastColumn="0" w:lastRowFirstColumn="0" w:lastRowLastColumn="0"/>
              <w:rPr>
                <w:rFonts w:cs="Helvetica"/>
                <w:b w:val="0"/>
                <w:bCs w:val="0"/>
                <w:sz w:val="21"/>
                <w:szCs w:val="20"/>
              </w:rPr>
            </w:pPr>
            <w:r w:rsidRPr="00953FB8">
              <w:rPr>
                <w:rFonts w:cs="Helvetica"/>
                <w:sz w:val="21"/>
                <w:szCs w:val="20"/>
              </w:rPr>
              <w:t>Definition</w:t>
            </w:r>
          </w:p>
        </w:tc>
      </w:tr>
      <w:tr w:rsidR="002A7E34" w:rsidRPr="00DD1657" w14:paraId="41C70C59" w14:textId="77777777" w:rsidTr="00C46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3872628" w14:textId="77777777" w:rsidR="002A7E34" w:rsidRPr="00953FB8" w:rsidRDefault="002A7E34" w:rsidP="00C46E28">
            <w:pPr>
              <w:spacing w:before="20" w:after="20"/>
              <w:rPr>
                <w:rFonts w:cs="Helvetica"/>
                <w:sz w:val="21"/>
                <w:szCs w:val="20"/>
              </w:rPr>
            </w:pPr>
            <w:r w:rsidRPr="00953FB8">
              <w:rPr>
                <w:rFonts w:cs="Helvetica"/>
                <w:sz w:val="21"/>
                <w:szCs w:val="20"/>
              </w:rPr>
              <w:t>AAT</w:t>
            </w:r>
          </w:p>
        </w:tc>
        <w:tc>
          <w:tcPr>
            <w:tcW w:w="7228" w:type="dxa"/>
          </w:tcPr>
          <w:p w14:paraId="12CF9D02" w14:textId="77777777" w:rsidR="002A7E34" w:rsidRPr="00953FB8" w:rsidRDefault="002A7E34" w:rsidP="00C46E28">
            <w:pPr>
              <w:spacing w:before="20" w:after="20"/>
              <w:cnfStyle w:val="000000100000" w:firstRow="0" w:lastRow="0" w:firstColumn="0" w:lastColumn="0" w:oddVBand="0" w:evenVBand="0" w:oddHBand="1" w:evenHBand="0" w:firstRowFirstColumn="0" w:firstRowLastColumn="0" w:lastRowFirstColumn="0" w:lastRowLastColumn="0"/>
              <w:rPr>
                <w:rFonts w:cs="Helvetica"/>
                <w:sz w:val="21"/>
                <w:szCs w:val="20"/>
              </w:rPr>
            </w:pPr>
            <w:r w:rsidRPr="00953FB8">
              <w:rPr>
                <w:rFonts w:cs="Helvetica"/>
                <w:sz w:val="21"/>
                <w:szCs w:val="20"/>
              </w:rPr>
              <w:t>Administrative Appeals Tribunal</w:t>
            </w:r>
          </w:p>
        </w:tc>
      </w:tr>
      <w:tr w:rsidR="000C5A76" w:rsidRPr="00DD1657" w14:paraId="2EA23222" w14:textId="77777777" w:rsidTr="00C46E28">
        <w:tc>
          <w:tcPr>
            <w:cnfStyle w:val="001000000000" w:firstRow="0" w:lastRow="0" w:firstColumn="1" w:lastColumn="0" w:oddVBand="0" w:evenVBand="0" w:oddHBand="0" w:evenHBand="0" w:firstRowFirstColumn="0" w:firstRowLastColumn="0" w:lastRowFirstColumn="0" w:lastRowLastColumn="0"/>
            <w:tcW w:w="2122" w:type="dxa"/>
          </w:tcPr>
          <w:p w14:paraId="0C319C22" w14:textId="77777777" w:rsidR="000C5A76" w:rsidRPr="00953FB8" w:rsidRDefault="000C5A76" w:rsidP="00C46E28">
            <w:pPr>
              <w:spacing w:before="20" w:after="20"/>
              <w:rPr>
                <w:rFonts w:cs="Helvetica"/>
                <w:sz w:val="21"/>
                <w:szCs w:val="20"/>
              </w:rPr>
            </w:pPr>
            <w:r w:rsidRPr="00953FB8">
              <w:rPr>
                <w:rFonts w:cs="Helvetica"/>
                <w:sz w:val="21"/>
                <w:szCs w:val="20"/>
              </w:rPr>
              <w:t>Case management</w:t>
            </w:r>
          </w:p>
        </w:tc>
        <w:tc>
          <w:tcPr>
            <w:tcW w:w="7228" w:type="dxa"/>
          </w:tcPr>
          <w:p w14:paraId="663F8A1C" w14:textId="0D640A14" w:rsidR="000C5A76" w:rsidRPr="00953FB8" w:rsidRDefault="00B64DF7" w:rsidP="00C46E28">
            <w:pPr>
              <w:spacing w:before="20" w:after="20"/>
              <w:cnfStyle w:val="000000000000" w:firstRow="0" w:lastRow="0" w:firstColumn="0" w:lastColumn="0" w:oddVBand="0" w:evenVBand="0" w:oddHBand="0" w:evenHBand="0" w:firstRowFirstColumn="0" w:firstRowLastColumn="0" w:lastRowFirstColumn="0" w:lastRowLastColumn="0"/>
              <w:rPr>
                <w:rFonts w:cs="Helvetica"/>
                <w:sz w:val="21"/>
                <w:szCs w:val="20"/>
              </w:rPr>
            </w:pPr>
            <w:r>
              <w:rPr>
                <w:rFonts w:cs="Helvetica"/>
                <w:sz w:val="21"/>
                <w:szCs w:val="20"/>
              </w:rPr>
              <w:t>A d</w:t>
            </w:r>
            <w:r w:rsidR="000C5A76" w:rsidRPr="00953FB8">
              <w:rPr>
                <w:rFonts w:cs="Helvetica"/>
                <w:sz w:val="21"/>
                <w:szCs w:val="20"/>
              </w:rPr>
              <w:t xml:space="preserve">isability service under the </w:t>
            </w:r>
            <w:r w:rsidR="009D1F10" w:rsidRPr="00953FB8">
              <w:rPr>
                <w:rFonts w:cs="Helvetica"/>
                <w:sz w:val="21"/>
                <w:szCs w:val="20"/>
              </w:rPr>
              <w:t>previous</w:t>
            </w:r>
            <w:r w:rsidR="000C5A76" w:rsidRPr="00953FB8">
              <w:rPr>
                <w:rFonts w:cs="Helvetica"/>
                <w:sz w:val="21"/>
                <w:szCs w:val="20"/>
              </w:rPr>
              <w:t xml:space="preserve"> block funding model that included a holistic approach to assessment, planning, facilitation and advocacy for options and services to meet an individual's needs</w:t>
            </w:r>
            <w:r w:rsidR="00C46E28" w:rsidRPr="00953FB8">
              <w:rPr>
                <w:rFonts w:cs="Helvetica"/>
                <w:sz w:val="21"/>
                <w:szCs w:val="20"/>
              </w:rPr>
              <w:t>.</w:t>
            </w:r>
          </w:p>
        </w:tc>
      </w:tr>
      <w:tr w:rsidR="000C5A76" w:rsidRPr="00DD1657" w14:paraId="3928B4D0" w14:textId="77777777" w:rsidTr="00C46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F6A13A7" w14:textId="77777777" w:rsidR="000C5A76" w:rsidRPr="00953FB8" w:rsidRDefault="000C5A76" w:rsidP="00C46E28">
            <w:pPr>
              <w:spacing w:before="20" w:after="20"/>
              <w:rPr>
                <w:rFonts w:cs="Helvetica"/>
                <w:sz w:val="21"/>
                <w:szCs w:val="20"/>
              </w:rPr>
            </w:pPr>
            <w:r w:rsidRPr="00953FB8">
              <w:rPr>
                <w:rFonts w:cs="Helvetica"/>
                <w:sz w:val="21"/>
                <w:szCs w:val="20"/>
              </w:rPr>
              <w:t>Co</w:t>
            </w:r>
            <w:r w:rsidR="004336CE" w:rsidRPr="00953FB8">
              <w:rPr>
                <w:rFonts w:cs="Helvetica"/>
                <w:sz w:val="21"/>
                <w:szCs w:val="20"/>
              </w:rPr>
              <w:t>-</w:t>
            </w:r>
            <w:r w:rsidRPr="00953FB8">
              <w:rPr>
                <w:rFonts w:cs="Helvetica"/>
                <w:sz w:val="21"/>
                <w:szCs w:val="20"/>
              </w:rPr>
              <w:t>design</w:t>
            </w:r>
          </w:p>
        </w:tc>
        <w:tc>
          <w:tcPr>
            <w:tcW w:w="7228" w:type="dxa"/>
          </w:tcPr>
          <w:p w14:paraId="4380A437" w14:textId="0AA7589E" w:rsidR="000C5A76" w:rsidRPr="00953FB8" w:rsidRDefault="000C5A76" w:rsidP="00C46E28">
            <w:pPr>
              <w:spacing w:before="20" w:after="20"/>
              <w:cnfStyle w:val="000000100000" w:firstRow="0" w:lastRow="0" w:firstColumn="0" w:lastColumn="0" w:oddVBand="0" w:evenVBand="0" w:oddHBand="1" w:evenHBand="0" w:firstRowFirstColumn="0" w:firstRowLastColumn="0" w:lastRowFirstColumn="0" w:lastRowLastColumn="0"/>
              <w:rPr>
                <w:rFonts w:cs="Helvetica"/>
                <w:sz w:val="21"/>
                <w:szCs w:val="20"/>
              </w:rPr>
            </w:pPr>
            <w:r w:rsidRPr="00953FB8">
              <w:rPr>
                <w:rFonts w:cs="Helvetica"/>
                <w:sz w:val="21"/>
                <w:szCs w:val="20"/>
              </w:rPr>
              <w:t xml:space="preserve">The collaborative exploration of both problems and solutions between stakeholders to design new products, services and policies. </w:t>
            </w:r>
            <w:r w:rsidR="00B64DF7">
              <w:rPr>
                <w:rFonts w:cs="Helvetica"/>
                <w:sz w:val="21"/>
                <w:szCs w:val="20"/>
              </w:rPr>
              <w:t>It is a</w:t>
            </w:r>
            <w:r w:rsidR="00781987" w:rsidRPr="00953FB8">
              <w:rPr>
                <w:rFonts w:cs="Helvetica"/>
                <w:sz w:val="21"/>
                <w:szCs w:val="20"/>
              </w:rPr>
              <w:t xml:space="preserve"> participatory approach.</w:t>
            </w:r>
          </w:p>
        </w:tc>
      </w:tr>
      <w:tr w:rsidR="00BB4171" w:rsidRPr="00DD1657" w14:paraId="3C103F09" w14:textId="77777777" w:rsidTr="00C46E28">
        <w:tc>
          <w:tcPr>
            <w:cnfStyle w:val="001000000000" w:firstRow="0" w:lastRow="0" w:firstColumn="1" w:lastColumn="0" w:oddVBand="0" w:evenVBand="0" w:oddHBand="0" w:evenHBand="0" w:firstRowFirstColumn="0" w:firstRowLastColumn="0" w:lastRowFirstColumn="0" w:lastRowLastColumn="0"/>
            <w:tcW w:w="2122" w:type="dxa"/>
          </w:tcPr>
          <w:p w14:paraId="69AD5971" w14:textId="77777777" w:rsidR="00BB4171" w:rsidRPr="00953FB8" w:rsidRDefault="00BB4171" w:rsidP="00C46E28">
            <w:pPr>
              <w:spacing w:before="20" w:after="20"/>
              <w:rPr>
                <w:rFonts w:cs="Helvetica"/>
                <w:sz w:val="21"/>
                <w:szCs w:val="20"/>
              </w:rPr>
            </w:pPr>
            <w:r w:rsidRPr="00953FB8">
              <w:rPr>
                <w:rFonts w:cs="Helvetica"/>
                <w:sz w:val="21"/>
                <w:szCs w:val="20"/>
              </w:rPr>
              <w:t>DANA</w:t>
            </w:r>
          </w:p>
        </w:tc>
        <w:tc>
          <w:tcPr>
            <w:tcW w:w="7228" w:type="dxa"/>
          </w:tcPr>
          <w:p w14:paraId="3A4D21A3" w14:textId="77777777" w:rsidR="00BB4171" w:rsidRPr="00953FB8" w:rsidRDefault="00BB4171" w:rsidP="00C46E28">
            <w:pPr>
              <w:spacing w:before="20" w:after="20"/>
              <w:cnfStyle w:val="000000000000" w:firstRow="0" w:lastRow="0" w:firstColumn="0" w:lastColumn="0" w:oddVBand="0" w:evenVBand="0" w:oddHBand="0" w:evenHBand="0" w:firstRowFirstColumn="0" w:firstRowLastColumn="0" w:lastRowFirstColumn="0" w:lastRowLastColumn="0"/>
              <w:rPr>
                <w:rFonts w:cs="Helvetica"/>
                <w:sz w:val="21"/>
                <w:szCs w:val="20"/>
              </w:rPr>
            </w:pPr>
            <w:r w:rsidRPr="00953FB8">
              <w:rPr>
                <w:rFonts w:cs="Helvetica"/>
                <w:sz w:val="21"/>
                <w:szCs w:val="20"/>
              </w:rPr>
              <w:t>Disability Advocacy Network Australia</w:t>
            </w:r>
          </w:p>
        </w:tc>
      </w:tr>
      <w:tr w:rsidR="0062630A" w:rsidRPr="00DD1657" w14:paraId="1A3A824A" w14:textId="77777777" w:rsidTr="00C46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64F076C" w14:textId="77777777" w:rsidR="0062630A" w:rsidRPr="00953FB8" w:rsidRDefault="0062630A" w:rsidP="00C46E28">
            <w:pPr>
              <w:spacing w:before="20" w:after="20"/>
              <w:rPr>
                <w:rFonts w:cs="Helvetica"/>
                <w:sz w:val="21"/>
                <w:szCs w:val="20"/>
              </w:rPr>
            </w:pPr>
            <w:r w:rsidRPr="00953FB8">
              <w:rPr>
                <w:rFonts w:cs="Helvetica"/>
                <w:sz w:val="21"/>
                <w:szCs w:val="20"/>
              </w:rPr>
              <w:t>DEX</w:t>
            </w:r>
          </w:p>
        </w:tc>
        <w:tc>
          <w:tcPr>
            <w:tcW w:w="7228" w:type="dxa"/>
          </w:tcPr>
          <w:p w14:paraId="30DC9B31" w14:textId="192B930B" w:rsidR="0062630A" w:rsidRPr="00953FB8" w:rsidRDefault="0062630A">
            <w:pPr>
              <w:spacing w:before="20" w:after="20"/>
              <w:cnfStyle w:val="000000100000" w:firstRow="0" w:lastRow="0" w:firstColumn="0" w:lastColumn="0" w:oddVBand="0" w:evenVBand="0" w:oddHBand="1" w:evenHBand="0" w:firstRowFirstColumn="0" w:firstRowLastColumn="0" w:lastRowFirstColumn="0" w:lastRowLastColumn="0"/>
              <w:rPr>
                <w:rFonts w:cs="Helvetica"/>
                <w:sz w:val="21"/>
                <w:szCs w:val="20"/>
              </w:rPr>
            </w:pPr>
            <w:r w:rsidRPr="00953FB8">
              <w:rPr>
                <w:rFonts w:cs="Helvetica"/>
                <w:sz w:val="21"/>
                <w:szCs w:val="20"/>
              </w:rPr>
              <w:t>The Data Exchange</w:t>
            </w:r>
            <w:r w:rsidR="00563836">
              <w:rPr>
                <w:rFonts w:cs="Helvetica"/>
                <w:sz w:val="21"/>
                <w:szCs w:val="20"/>
              </w:rPr>
              <w:t>,</w:t>
            </w:r>
            <w:r w:rsidRPr="00953FB8">
              <w:rPr>
                <w:rFonts w:cs="Helvetica"/>
                <w:sz w:val="21"/>
                <w:szCs w:val="20"/>
              </w:rPr>
              <w:t xml:space="preserve"> a computer system used to share data and information managed by DSS. It is used by disability advocacy organisations </w:t>
            </w:r>
            <w:r w:rsidR="009D1F10" w:rsidRPr="00953FB8">
              <w:rPr>
                <w:rFonts w:cs="Helvetica"/>
                <w:sz w:val="21"/>
                <w:szCs w:val="20"/>
              </w:rPr>
              <w:t xml:space="preserve">that receive DSS funding </w:t>
            </w:r>
            <w:r w:rsidRPr="00953FB8">
              <w:rPr>
                <w:rFonts w:cs="Helvetica"/>
                <w:sz w:val="21"/>
                <w:szCs w:val="20"/>
              </w:rPr>
              <w:t xml:space="preserve">to record </w:t>
            </w:r>
            <w:r w:rsidR="00BB4171" w:rsidRPr="00953FB8">
              <w:rPr>
                <w:rFonts w:cs="Helvetica"/>
                <w:sz w:val="21"/>
                <w:szCs w:val="20"/>
              </w:rPr>
              <w:t xml:space="preserve">and report </w:t>
            </w:r>
            <w:r w:rsidRPr="00953FB8">
              <w:rPr>
                <w:rFonts w:cs="Helvetica"/>
                <w:sz w:val="21"/>
                <w:szCs w:val="20"/>
              </w:rPr>
              <w:t>client data</w:t>
            </w:r>
            <w:r w:rsidR="00BB4171" w:rsidRPr="00953FB8">
              <w:rPr>
                <w:rFonts w:cs="Helvetica"/>
                <w:sz w:val="21"/>
                <w:szCs w:val="20"/>
              </w:rPr>
              <w:t>.</w:t>
            </w:r>
          </w:p>
        </w:tc>
      </w:tr>
      <w:tr w:rsidR="0062630A" w:rsidRPr="00DD1657" w14:paraId="0D8CC344" w14:textId="77777777" w:rsidTr="00C46E28">
        <w:tc>
          <w:tcPr>
            <w:cnfStyle w:val="001000000000" w:firstRow="0" w:lastRow="0" w:firstColumn="1" w:lastColumn="0" w:oddVBand="0" w:evenVBand="0" w:oddHBand="0" w:evenHBand="0" w:firstRowFirstColumn="0" w:firstRowLastColumn="0" w:lastRowFirstColumn="0" w:lastRowLastColumn="0"/>
            <w:tcW w:w="2122" w:type="dxa"/>
          </w:tcPr>
          <w:p w14:paraId="51A52267" w14:textId="77777777" w:rsidR="0062630A" w:rsidRPr="00953FB8" w:rsidRDefault="0062630A" w:rsidP="00C46E28">
            <w:pPr>
              <w:spacing w:before="20" w:after="20"/>
              <w:rPr>
                <w:rFonts w:cs="Helvetica"/>
                <w:sz w:val="21"/>
                <w:szCs w:val="20"/>
              </w:rPr>
            </w:pPr>
            <w:r w:rsidRPr="00953FB8">
              <w:rPr>
                <w:rFonts w:cs="Helvetica"/>
                <w:sz w:val="21"/>
                <w:szCs w:val="20"/>
              </w:rPr>
              <w:t>DEX requirement – 5% unidentified</w:t>
            </w:r>
          </w:p>
        </w:tc>
        <w:tc>
          <w:tcPr>
            <w:tcW w:w="7228" w:type="dxa"/>
          </w:tcPr>
          <w:p w14:paraId="4725BB3C" w14:textId="77777777" w:rsidR="0062630A" w:rsidRPr="00953FB8" w:rsidRDefault="0062630A" w:rsidP="00C46E28">
            <w:pPr>
              <w:spacing w:before="20" w:after="20"/>
              <w:cnfStyle w:val="000000000000" w:firstRow="0" w:lastRow="0" w:firstColumn="0" w:lastColumn="0" w:oddVBand="0" w:evenVBand="0" w:oddHBand="0" w:evenHBand="0" w:firstRowFirstColumn="0" w:firstRowLastColumn="0" w:lastRowFirstColumn="0" w:lastRowLastColumn="0"/>
              <w:rPr>
                <w:rFonts w:cs="Helvetica"/>
                <w:sz w:val="21"/>
                <w:szCs w:val="20"/>
              </w:rPr>
            </w:pPr>
            <w:r w:rsidRPr="00953FB8">
              <w:rPr>
                <w:rFonts w:cs="Helvetica"/>
                <w:sz w:val="21"/>
                <w:szCs w:val="20"/>
              </w:rPr>
              <w:t xml:space="preserve">The DEX protocols allow for only 5% of clients or less </w:t>
            </w:r>
            <w:r w:rsidR="009D1F10" w:rsidRPr="00953FB8">
              <w:rPr>
                <w:rFonts w:cs="Helvetica"/>
                <w:sz w:val="21"/>
                <w:szCs w:val="20"/>
              </w:rPr>
              <w:t xml:space="preserve">to </w:t>
            </w:r>
            <w:r w:rsidRPr="00953FB8">
              <w:rPr>
                <w:rFonts w:cs="Helvetica"/>
                <w:sz w:val="21"/>
                <w:szCs w:val="20"/>
              </w:rPr>
              <w:t>be recorded as unidentified clients in any reporting period.</w:t>
            </w:r>
          </w:p>
        </w:tc>
      </w:tr>
      <w:tr w:rsidR="00ED2D43" w:rsidRPr="00DD1657" w14:paraId="5D0B5BA8" w14:textId="77777777" w:rsidTr="00C46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C2BD2B4" w14:textId="77777777" w:rsidR="00ED2D43" w:rsidRPr="00953FB8" w:rsidRDefault="00ED2D43" w:rsidP="00C46E28">
            <w:pPr>
              <w:spacing w:before="20" w:after="20"/>
              <w:rPr>
                <w:rFonts w:cs="Helvetica"/>
                <w:sz w:val="21"/>
                <w:szCs w:val="20"/>
              </w:rPr>
            </w:pPr>
            <w:r w:rsidRPr="00953FB8">
              <w:rPr>
                <w:rFonts w:cs="Helvetica"/>
                <w:sz w:val="21"/>
                <w:szCs w:val="20"/>
              </w:rPr>
              <w:t>DRC</w:t>
            </w:r>
          </w:p>
        </w:tc>
        <w:tc>
          <w:tcPr>
            <w:tcW w:w="7228" w:type="dxa"/>
          </w:tcPr>
          <w:p w14:paraId="683F3CC6" w14:textId="77777777" w:rsidR="00ED2D43" w:rsidRPr="00953FB8" w:rsidRDefault="00ED2D43" w:rsidP="00C46E28">
            <w:pPr>
              <w:spacing w:before="20" w:after="20"/>
              <w:cnfStyle w:val="000000100000" w:firstRow="0" w:lastRow="0" w:firstColumn="0" w:lastColumn="0" w:oddVBand="0" w:evenVBand="0" w:oddHBand="1" w:evenHBand="0" w:firstRowFirstColumn="0" w:firstRowLastColumn="0" w:lastRowFirstColumn="0" w:lastRowLastColumn="0"/>
              <w:rPr>
                <w:rFonts w:cs="Helvetica"/>
                <w:sz w:val="21"/>
                <w:szCs w:val="20"/>
              </w:rPr>
            </w:pPr>
            <w:r w:rsidRPr="00953FB8">
              <w:rPr>
                <w:rFonts w:cs="Helvetica"/>
                <w:sz w:val="21"/>
                <w:szCs w:val="20"/>
              </w:rPr>
              <w:t>Disability Royal Commission</w:t>
            </w:r>
          </w:p>
        </w:tc>
      </w:tr>
      <w:tr w:rsidR="00931C59" w:rsidRPr="00DD1657" w14:paraId="54001736" w14:textId="77777777" w:rsidTr="00C46E28">
        <w:tc>
          <w:tcPr>
            <w:cnfStyle w:val="001000000000" w:firstRow="0" w:lastRow="0" w:firstColumn="1" w:lastColumn="0" w:oddVBand="0" w:evenVBand="0" w:oddHBand="0" w:evenHBand="0" w:firstRowFirstColumn="0" w:firstRowLastColumn="0" w:lastRowFirstColumn="0" w:lastRowLastColumn="0"/>
            <w:tcW w:w="2122" w:type="dxa"/>
          </w:tcPr>
          <w:p w14:paraId="17C8332C" w14:textId="77777777" w:rsidR="00931C59" w:rsidRPr="00953FB8" w:rsidRDefault="00931C59" w:rsidP="00C46E28">
            <w:pPr>
              <w:spacing w:before="20" w:after="20"/>
              <w:rPr>
                <w:rFonts w:cs="Helvetica"/>
                <w:sz w:val="21"/>
                <w:szCs w:val="20"/>
              </w:rPr>
            </w:pPr>
            <w:r w:rsidRPr="00953FB8">
              <w:rPr>
                <w:rFonts w:cs="Helvetica"/>
                <w:sz w:val="21"/>
                <w:szCs w:val="20"/>
              </w:rPr>
              <w:t>DSS</w:t>
            </w:r>
          </w:p>
        </w:tc>
        <w:tc>
          <w:tcPr>
            <w:tcW w:w="7228" w:type="dxa"/>
          </w:tcPr>
          <w:p w14:paraId="765FCB1D" w14:textId="77777777" w:rsidR="00931C59" w:rsidRPr="00953FB8" w:rsidRDefault="00EE1297" w:rsidP="00C46E28">
            <w:pPr>
              <w:spacing w:before="20" w:after="20"/>
              <w:cnfStyle w:val="000000000000" w:firstRow="0" w:lastRow="0" w:firstColumn="0" w:lastColumn="0" w:oddVBand="0" w:evenVBand="0" w:oddHBand="0" w:evenHBand="0" w:firstRowFirstColumn="0" w:firstRowLastColumn="0" w:lastRowFirstColumn="0" w:lastRowLastColumn="0"/>
              <w:rPr>
                <w:rFonts w:cs="Helvetica"/>
                <w:sz w:val="21"/>
                <w:szCs w:val="20"/>
              </w:rPr>
            </w:pPr>
            <w:r w:rsidRPr="00953FB8">
              <w:rPr>
                <w:rFonts w:cs="Helvetica"/>
                <w:sz w:val="21"/>
                <w:szCs w:val="20"/>
              </w:rPr>
              <w:t>Department of Social Service</w:t>
            </w:r>
            <w:r w:rsidR="00B07D03" w:rsidRPr="00953FB8">
              <w:rPr>
                <w:rFonts w:cs="Helvetica"/>
                <w:sz w:val="21"/>
                <w:szCs w:val="20"/>
              </w:rPr>
              <w:t>s</w:t>
            </w:r>
          </w:p>
        </w:tc>
      </w:tr>
      <w:tr w:rsidR="00BB4171" w:rsidRPr="00DD1657" w14:paraId="626A28DF" w14:textId="77777777" w:rsidTr="00C46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287603D" w14:textId="77777777" w:rsidR="00BB4171" w:rsidRPr="00953FB8" w:rsidRDefault="00BB4171" w:rsidP="00C46E28">
            <w:pPr>
              <w:spacing w:before="20" w:after="20"/>
              <w:rPr>
                <w:rFonts w:cs="Helvetica"/>
                <w:sz w:val="21"/>
                <w:szCs w:val="20"/>
              </w:rPr>
            </w:pPr>
            <w:r w:rsidRPr="00953FB8">
              <w:rPr>
                <w:rFonts w:cs="Helvetica"/>
                <w:sz w:val="21"/>
                <w:szCs w:val="20"/>
              </w:rPr>
              <w:t>NCDA</w:t>
            </w:r>
          </w:p>
        </w:tc>
        <w:tc>
          <w:tcPr>
            <w:tcW w:w="7228" w:type="dxa"/>
          </w:tcPr>
          <w:p w14:paraId="3E83D409" w14:textId="77777777" w:rsidR="00BB4171" w:rsidRPr="00953FB8" w:rsidRDefault="00BB4171" w:rsidP="00C46E28">
            <w:pPr>
              <w:spacing w:before="20" w:after="20"/>
              <w:cnfStyle w:val="000000100000" w:firstRow="0" w:lastRow="0" w:firstColumn="0" w:lastColumn="0" w:oddVBand="0" w:evenVBand="0" w:oddHBand="1" w:evenHBand="0" w:firstRowFirstColumn="0" w:firstRowLastColumn="0" w:lastRowFirstColumn="0" w:lastRowLastColumn="0"/>
              <w:rPr>
                <w:rFonts w:cs="Helvetica"/>
                <w:sz w:val="21"/>
                <w:szCs w:val="20"/>
              </w:rPr>
            </w:pPr>
            <w:r w:rsidRPr="00953FB8">
              <w:rPr>
                <w:rFonts w:cs="Helvetica"/>
                <w:sz w:val="21"/>
                <w:szCs w:val="20"/>
              </w:rPr>
              <w:t>National Centre for Disability Advocacy</w:t>
            </w:r>
          </w:p>
        </w:tc>
      </w:tr>
      <w:bookmarkEnd w:id="1"/>
      <w:bookmarkEnd w:id="2"/>
      <w:tr w:rsidR="000C5A76" w:rsidRPr="00DD1657" w14:paraId="06BEA8A0" w14:textId="77777777" w:rsidTr="00C46E28">
        <w:tc>
          <w:tcPr>
            <w:cnfStyle w:val="001000000000" w:firstRow="0" w:lastRow="0" w:firstColumn="1" w:lastColumn="0" w:oddVBand="0" w:evenVBand="0" w:oddHBand="0" w:evenHBand="0" w:firstRowFirstColumn="0" w:firstRowLastColumn="0" w:lastRowFirstColumn="0" w:lastRowLastColumn="0"/>
            <w:tcW w:w="2122" w:type="dxa"/>
          </w:tcPr>
          <w:p w14:paraId="1DAED76B" w14:textId="77777777" w:rsidR="000C5A76" w:rsidRPr="00953FB8" w:rsidRDefault="000C5A76" w:rsidP="00C46E28">
            <w:pPr>
              <w:spacing w:before="20" w:after="20"/>
              <w:rPr>
                <w:rFonts w:cs="Helvetica"/>
                <w:sz w:val="21"/>
                <w:szCs w:val="20"/>
              </w:rPr>
            </w:pPr>
            <w:r w:rsidRPr="00953FB8">
              <w:rPr>
                <w:rFonts w:cs="Helvetica"/>
                <w:sz w:val="21"/>
                <w:szCs w:val="20"/>
              </w:rPr>
              <w:t>NDIS</w:t>
            </w:r>
          </w:p>
        </w:tc>
        <w:tc>
          <w:tcPr>
            <w:tcW w:w="7228" w:type="dxa"/>
          </w:tcPr>
          <w:p w14:paraId="578AE6A2" w14:textId="77777777" w:rsidR="000C5A76" w:rsidRPr="00953FB8" w:rsidRDefault="000C5A76" w:rsidP="00C46E28">
            <w:pPr>
              <w:spacing w:before="20" w:after="20"/>
              <w:cnfStyle w:val="000000000000" w:firstRow="0" w:lastRow="0" w:firstColumn="0" w:lastColumn="0" w:oddVBand="0" w:evenVBand="0" w:oddHBand="0" w:evenHBand="0" w:firstRowFirstColumn="0" w:firstRowLastColumn="0" w:lastRowFirstColumn="0" w:lastRowLastColumn="0"/>
              <w:rPr>
                <w:rFonts w:cs="Helvetica"/>
                <w:sz w:val="21"/>
                <w:szCs w:val="20"/>
              </w:rPr>
            </w:pPr>
            <w:r w:rsidRPr="00953FB8">
              <w:rPr>
                <w:rFonts w:cs="Helvetica"/>
                <w:sz w:val="21"/>
                <w:szCs w:val="20"/>
              </w:rPr>
              <w:t>National Disability Insurance Scheme</w:t>
            </w:r>
          </w:p>
        </w:tc>
      </w:tr>
      <w:tr w:rsidR="00EE1297" w:rsidRPr="00DD1657" w14:paraId="0805FF51" w14:textId="77777777" w:rsidTr="003B7200">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2122" w:type="dxa"/>
          </w:tcPr>
          <w:p w14:paraId="5B57B872" w14:textId="77777777" w:rsidR="00EE1297" w:rsidRPr="00953FB8" w:rsidRDefault="00EE1297" w:rsidP="00C46E28">
            <w:pPr>
              <w:spacing w:before="20" w:after="20"/>
              <w:rPr>
                <w:rFonts w:cs="Helvetica"/>
                <w:sz w:val="21"/>
                <w:szCs w:val="20"/>
              </w:rPr>
            </w:pPr>
            <w:r w:rsidRPr="00953FB8">
              <w:rPr>
                <w:rFonts w:cs="Helvetica"/>
                <w:sz w:val="21"/>
                <w:szCs w:val="20"/>
              </w:rPr>
              <w:t>Unmet demand</w:t>
            </w:r>
          </w:p>
        </w:tc>
        <w:tc>
          <w:tcPr>
            <w:tcW w:w="7228" w:type="dxa"/>
          </w:tcPr>
          <w:p w14:paraId="2D1E8CA2" w14:textId="303D6700" w:rsidR="00EE1297" w:rsidRPr="00953FB8" w:rsidRDefault="002218A3">
            <w:pPr>
              <w:spacing w:before="20" w:after="20"/>
              <w:cnfStyle w:val="000000100000" w:firstRow="0" w:lastRow="0" w:firstColumn="0" w:lastColumn="0" w:oddVBand="0" w:evenVBand="0" w:oddHBand="1" w:evenHBand="0" w:firstRowFirstColumn="0" w:firstRowLastColumn="0" w:lastRowFirstColumn="0" w:lastRowLastColumn="0"/>
              <w:rPr>
                <w:rFonts w:cs="Helvetica"/>
                <w:sz w:val="21"/>
                <w:szCs w:val="20"/>
              </w:rPr>
            </w:pPr>
            <w:r w:rsidRPr="003B7200">
              <w:rPr>
                <w:rFonts w:cs="Helvetica"/>
                <w:sz w:val="21"/>
                <w:szCs w:val="20"/>
              </w:rPr>
              <w:t xml:space="preserve">People who have enquired about advocacy services and are eligible to receive </w:t>
            </w:r>
            <w:r w:rsidR="008B1EAF" w:rsidRPr="003B7200">
              <w:rPr>
                <w:rFonts w:cs="Helvetica"/>
                <w:sz w:val="21"/>
                <w:szCs w:val="20"/>
              </w:rPr>
              <w:t>them but</w:t>
            </w:r>
            <w:r w:rsidRPr="003B7200">
              <w:rPr>
                <w:rFonts w:cs="Helvetica"/>
                <w:sz w:val="21"/>
                <w:szCs w:val="20"/>
              </w:rPr>
              <w:t xml:space="preserve"> have not been able to </w:t>
            </w:r>
            <w:r w:rsidR="001D552D" w:rsidRPr="003B7200">
              <w:rPr>
                <w:rFonts w:cs="Helvetica"/>
                <w:sz w:val="21"/>
                <w:szCs w:val="20"/>
              </w:rPr>
              <w:t>access</w:t>
            </w:r>
            <w:r w:rsidRPr="003B7200">
              <w:rPr>
                <w:rFonts w:cs="Helvetica"/>
                <w:sz w:val="21"/>
                <w:szCs w:val="20"/>
              </w:rPr>
              <w:t xml:space="preserve"> them</w:t>
            </w:r>
            <w:r w:rsidR="00D91E5A">
              <w:rPr>
                <w:rFonts w:cs="Helvetica"/>
                <w:sz w:val="21"/>
                <w:szCs w:val="20"/>
              </w:rPr>
              <w:t>.</w:t>
            </w:r>
          </w:p>
        </w:tc>
      </w:tr>
      <w:tr w:rsidR="00EE1297" w:rsidRPr="00DD1657" w14:paraId="31076A28" w14:textId="77777777" w:rsidTr="00C46E28">
        <w:tc>
          <w:tcPr>
            <w:cnfStyle w:val="001000000000" w:firstRow="0" w:lastRow="0" w:firstColumn="1" w:lastColumn="0" w:oddVBand="0" w:evenVBand="0" w:oddHBand="0" w:evenHBand="0" w:firstRowFirstColumn="0" w:firstRowLastColumn="0" w:lastRowFirstColumn="0" w:lastRowLastColumn="0"/>
            <w:tcW w:w="2122" w:type="dxa"/>
          </w:tcPr>
          <w:p w14:paraId="69207F72" w14:textId="77777777" w:rsidR="00EE1297" w:rsidRPr="00953FB8" w:rsidRDefault="00EE1297" w:rsidP="00C46E28">
            <w:pPr>
              <w:spacing w:before="20" w:after="20"/>
              <w:rPr>
                <w:rFonts w:cs="Helvetica"/>
                <w:sz w:val="21"/>
                <w:szCs w:val="20"/>
              </w:rPr>
            </w:pPr>
            <w:r w:rsidRPr="00953FB8">
              <w:rPr>
                <w:rFonts w:cs="Helvetica"/>
                <w:sz w:val="21"/>
                <w:szCs w:val="20"/>
              </w:rPr>
              <w:t>Unmet need</w:t>
            </w:r>
          </w:p>
        </w:tc>
        <w:tc>
          <w:tcPr>
            <w:tcW w:w="7228" w:type="dxa"/>
          </w:tcPr>
          <w:p w14:paraId="1EC61B06" w14:textId="77777777" w:rsidR="00EE1297" w:rsidRPr="00953FB8" w:rsidRDefault="008D6B04" w:rsidP="00C46E28">
            <w:pPr>
              <w:spacing w:before="20" w:after="20"/>
              <w:cnfStyle w:val="000000000000" w:firstRow="0" w:lastRow="0" w:firstColumn="0" w:lastColumn="0" w:oddVBand="0" w:evenVBand="0" w:oddHBand="0" w:evenHBand="0" w:firstRowFirstColumn="0" w:firstRowLastColumn="0" w:lastRowFirstColumn="0" w:lastRowLastColumn="0"/>
              <w:rPr>
                <w:rFonts w:cs="Helvetica"/>
                <w:sz w:val="21"/>
                <w:szCs w:val="20"/>
              </w:rPr>
            </w:pPr>
            <w:r w:rsidRPr="00953FB8">
              <w:rPr>
                <w:rFonts w:cs="Helvetica"/>
                <w:sz w:val="21"/>
                <w:szCs w:val="20"/>
              </w:rPr>
              <w:t>P</w:t>
            </w:r>
            <w:r w:rsidR="00EE1297" w:rsidRPr="00953FB8">
              <w:rPr>
                <w:rFonts w:cs="Helvetica"/>
                <w:sz w:val="21"/>
                <w:szCs w:val="20"/>
              </w:rPr>
              <w:t xml:space="preserve">eople who </w:t>
            </w:r>
            <w:r w:rsidRPr="00953FB8">
              <w:rPr>
                <w:rFonts w:cs="Helvetica"/>
                <w:sz w:val="21"/>
                <w:szCs w:val="20"/>
              </w:rPr>
              <w:t xml:space="preserve">are unaware </w:t>
            </w:r>
            <w:r w:rsidR="009D1F10" w:rsidRPr="00953FB8">
              <w:rPr>
                <w:rFonts w:cs="Helvetica"/>
                <w:sz w:val="21"/>
                <w:szCs w:val="20"/>
              </w:rPr>
              <w:t xml:space="preserve">that </w:t>
            </w:r>
            <w:r w:rsidR="00EE1297" w:rsidRPr="00953FB8">
              <w:rPr>
                <w:rFonts w:cs="Helvetica"/>
                <w:sz w:val="21"/>
                <w:szCs w:val="20"/>
              </w:rPr>
              <w:t>disability advocacy exists and have an issue advocacy could assist with.</w:t>
            </w:r>
          </w:p>
        </w:tc>
      </w:tr>
      <w:tr w:rsidR="00491193" w:rsidRPr="00DD1657" w14:paraId="7983CAEF" w14:textId="77777777" w:rsidTr="00617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0A253E"/>
          </w:tcPr>
          <w:p w14:paraId="0480441F" w14:textId="77777777" w:rsidR="00491193" w:rsidRPr="00953FB8" w:rsidRDefault="00491193" w:rsidP="00C46E28">
            <w:pPr>
              <w:spacing w:before="20" w:after="20"/>
              <w:rPr>
                <w:rFonts w:cs="Helvetica"/>
                <w:b w:val="0"/>
                <w:bCs w:val="0"/>
                <w:sz w:val="21"/>
                <w:szCs w:val="20"/>
              </w:rPr>
            </w:pPr>
            <w:r w:rsidRPr="00953FB8">
              <w:rPr>
                <w:rFonts w:cs="Helvetica"/>
                <w:sz w:val="21"/>
                <w:szCs w:val="20"/>
              </w:rPr>
              <w:t>Funding Stream</w:t>
            </w:r>
            <w:r w:rsidR="00110B87" w:rsidRPr="00953FB8">
              <w:rPr>
                <w:rFonts w:cs="Helvetica"/>
                <w:sz w:val="21"/>
                <w:szCs w:val="20"/>
              </w:rPr>
              <w:t>s</w:t>
            </w:r>
          </w:p>
        </w:tc>
        <w:tc>
          <w:tcPr>
            <w:tcW w:w="7228" w:type="dxa"/>
            <w:shd w:val="clear" w:color="auto" w:fill="0A253E"/>
          </w:tcPr>
          <w:p w14:paraId="47C20698" w14:textId="77777777" w:rsidR="00491193" w:rsidRPr="00953FB8" w:rsidRDefault="0062630A" w:rsidP="00C46E28">
            <w:pPr>
              <w:spacing w:before="20" w:after="20"/>
              <w:cnfStyle w:val="000000100000" w:firstRow="0" w:lastRow="0" w:firstColumn="0" w:lastColumn="0" w:oddVBand="0" w:evenVBand="0" w:oddHBand="1" w:evenHBand="0" w:firstRowFirstColumn="0" w:firstRowLastColumn="0" w:lastRowFirstColumn="0" w:lastRowLastColumn="0"/>
              <w:rPr>
                <w:rFonts w:cs="Helvetica"/>
                <w:b/>
                <w:bCs/>
                <w:sz w:val="21"/>
                <w:szCs w:val="20"/>
              </w:rPr>
            </w:pPr>
            <w:r w:rsidRPr="00C037A5">
              <w:rPr>
                <w:rFonts w:cs="Helvetica"/>
                <w:b/>
                <w:bCs/>
                <w:sz w:val="21"/>
                <w:szCs w:val="20"/>
              </w:rPr>
              <w:t>Explanation</w:t>
            </w:r>
            <w:r w:rsidRPr="00953FB8">
              <w:rPr>
                <w:rFonts w:cs="Helvetica"/>
                <w:b/>
                <w:bCs/>
                <w:sz w:val="21"/>
                <w:szCs w:val="20"/>
              </w:rPr>
              <w:t xml:space="preserve"> </w:t>
            </w:r>
          </w:p>
        </w:tc>
      </w:tr>
      <w:tr w:rsidR="000C5A76" w:rsidRPr="00DD1657" w14:paraId="577EA39C" w14:textId="77777777" w:rsidTr="00C46E28">
        <w:tc>
          <w:tcPr>
            <w:cnfStyle w:val="001000000000" w:firstRow="0" w:lastRow="0" w:firstColumn="1" w:lastColumn="0" w:oddVBand="0" w:evenVBand="0" w:oddHBand="0" w:evenHBand="0" w:firstRowFirstColumn="0" w:firstRowLastColumn="0" w:lastRowFirstColumn="0" w:lastRowLastColumn="0"/>
            <w:tcW w:w="2122" w:type="dxa"/>
          </w:tcPr>
          <w:p w14:paraId="500D2B3C" w14:textId="45959D24" w:rsidR="000C5A76" w:rsidRPr="00953FB8" w:rsidRDefault="000C5A76" w:rsidP="00C46E28">
            <w:pPr>
              <w:spacing w:before="20" w:after="20"/>
              <w:rPr>
                <w:rFonts w:cs="Helvetica"/>
                <w:sz w:val="21"/>
                <w:szCs w:val="20"/>
              </w:rPr>
            </w:pPr>
            <w:r w:rsidRPr="00953FB8">
              <w:rPr>
                <w:rFonts w:cs="Helvetica"/>
                <w:sz w:val="21"/>
                <w:szCs w:val="20"/>
              </w:rPr>
              <w:t xml:space="preserve">Decision </w:t>
            </w:r>
            <w:r w:rsidR="0015389E">
              <w:rPr>
                <w:rFonts w:cs="Helvetica"/>
                <w:sz w:val="21"/>
                <w:szCs w:val="20"/>
              </w:rPr>
              <w:t>s</w:t>
            </w:r>
            <w:r w:rsidRPr="00953FB8">
              <w:rPr>
                <w:rFonts w:cs="Helvetica"/>
                <w:sz w:val="21"/>
                <w:szCs w:val="20"/>
              </w:rPr>
              <w:t>upport</w:t>
            </w:r>
          </w:p>
        </w:tc>
        <w:tc>
          <w:tcPr>
            <w:tcW w:w="7228" w:type="dxa"/>
          </w:tcPr>
          <w:p w14:paraId="244072BE" w14:textId="5B83490B" w:rsidR="000C5A76" w:rsidRPr="00953FB8" w:rsidRDefault="009E6F50">
            <w:pPr>
              <w:spacing w:before="20" w:after="20"/>
              <w:cnfStyle w:val="000000000000" w:firstRow="0" w:lastRow="0" w:firstColumn="0" w:lastColumn="0" w:oddVBand="0" w:evenVBand="0" w:oddHBand="0" w:evenHBand="0" w:firstRowFirstColumn="0" w:firstRowLastColumn="0" w:lastRowFirstColumn="0" w:lastRowLastColumn="0"/>
              <w:rPr>
                <w:rFonts w:cs="Helvetica"/>
                <w:sz w:val="21"/>
                <w:szCs w:val="20"/>
              </w:rPr>
            </w:pPr>
            <w:r w:rsidRPr="003B7200">
              <w:rPr>
                <w:rFonts w:cs="Helvetica"/>
                <w:sz w:val="21"/>
                <w:szCs w:val="20"/>
              </w:rPr>
              <w:t>A pilot program funded under the NDAP providing decision-making support for people with disability with limited decision</w:t>
            </w:r>
            <w:r w:rsidR="0062796B">
              <w:rPr>
                <w:rFonts w:cs="Helvetica"/>
                <w:sz w:val="21"/>
                <w:szCs w:val="20"/>
              </w:rPr>
              <w:t>-</w:t>
            </w:r>
            <w:r w:rsidRPr="003B7200">
              <w:rPr>
                <w:rFonts w:cs="Helvetica"/>
                <w:sz w:val="21"/>
                <w:szCs w:val="20"/>
              </w:rPr>
              <w:t xml:space="preserve">making capacity who are seeking to engage with NDIS processes. The pilot </w:t>
            </w:r>
            <w:r w:rsidR="00086DA3">
              <w:rPr>
                <w:rFonts w:cs="Helvetica"/>
                <w:sz w:val="21"/>
                <w:szCs w:val="20"/>
              </w:rPr>
              <w:t>ran from</w:t>
            </w:r>
            <w:r w:rsidRPr="003B7200">
              <w:rPr>
                <w:rFonts w:cs="Helvetica"/>
                <w:sz w:val="21"/>
                <w:szCs w:val="20"/>
              </w:rPr>
              <w:t xml:space="preserve"> October 2018 </w:t>
            </w:r>
            <w:r w:rsidR="00086DA3">
              <w:rPr>
                <w:rFonts w:cs="Helvetica"/>
                <w:sz w:val="21"/>
                <w:szCs w:val="20"/>
              </w:rPr>
              <w:t>to</w:t>
            </w:r>
            <w:r w:rsidRPr="003B7200">
              <w:rPr>
                <w:rFonts w:cs="Helvetica"/>
                <w:sz w:val="21"/>
                <w:szCs w:val="20"/>
              </w:rPr>
              <w:t xml:space="preserve"> June 2023.</w:t>
            </w:r>
          </w:p>
        </w:tc>
      </w:tr>
      <w:tr w:rsidR="000C5A76" w:rsidRPr="00DD1657" w14:paraId="3DE4FF96" w14:textId="77777777" w:rsidTr="00C46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057878B" w14:textId="5DCDD1EA" w:rsidR="000C5A76" w:rsidRPr="00953FB8" w:rsidRDefault="000C5A76" w:rsidP="00C46E28">
            <w:pPr>
              <w:spacing w:before="20" w:after="20"/>
              <w:rPr>
                <w:rFonts w:cs="Helvetica"/>
                <w:sz w:val="21"/>
                <w:szCs w:val="20"/>
              </w:rPr>
            </w:pPr>
            <w:r w:rsidRPr="00953FB8">
              <w:rPr>
                <w:rFonts w:cs="Helvetica"/>
                <w:sz w:val="21"/>
                <w:szCs w:val="20"/>
              </w:rPr>
              <w:t>DRC</w:t>
            </w:r>
            <w:r w:rsidR="00D91E5A">
              <w:rPr>
                <w:rFonts w:cs="Helvetica"/>
                <w:sz w:val="21"/>
                <w:szCs w:val="20"/>
              </w:rPr>
              <w:t xml:space="preserve"> </w:t>
            </w:r>
            <w:r w:rsidR="0015389E">
              <w:rPr>
                <w:rFonts w:cs="Helvetica"/>
                <w:sz w:val="21"/>
                <w:szCs w:val="20"/>
              </w:rPr>
              <w:t>a</w:t>
            </w:r>
            <w:r w:rsidR="00D91E5A">
              <w:rPr>
                <w:rFonts w:cs="Helvetica"/>
                <w:sz w:val="21"/>
                <w:szCs w:val="20"/>
              </w:rPr>
              <w:t>dvocacy</w:t>
            </w:r>
          </w:p>
        </w:tc>
        <w:tc>
          <w:tcPr>
            <w:tcW w:w="7228" w:type="dxa"/>
          </w:tcPr>
          <w:p w14:paraId="28F79A3E" w14:textId="77777777" w:rsidR="000C5A76" w:rsidRPr="00953FB8" w:rsidRDefault="000C5A76" w:rsidP="00C46E28">
            <w:pPr>
              <w:spacing w:before="20" w:after="20"/>
              <w:cnfStyle w:val="000000100000" w:firstRow="0" w:lastRow="0" w:firstColumn="0" w:lastColumn="0" w:oddVBand="0" w:evenVBand="0" w:oddHBand="1" w:evenHBand="0" w:firstRowFirstColumn="0" w:firstRowLastColumn="0" w:lastRowFirstColumn="0" w:lastRowLastColumn="0"/>
              <w:rPr>
                <w:rFonts w:cs="Helvetica"/>
                <w:sz w:val="21"/>
                <w:szCs w:val="20"/>
              </w:rPr>
            </w:pPr>
            <w:r w:rsidRPr="00953FB8">
              <w:rPr>
                <w:rFonts w:cs="Helvetica"/>
                <w:sz w:val="21"/>
                <w:szCs w:val="20"/>
              </w:rPr>
              <w:t xml:space="preserve">Disability Royal Commission individual advocacy services funded by </w:t>
            </w:r>
            <w:r w:rsidR="00B07D03" w:rsidRPr="00953FB8">
              <w:rPr>
                <w:rFonts w:cs="Helvetica"/>
                <w:sz w:val="21"/>
                <w:szCs w:val="20"/>
              </w:rPr>
              <w:t>DSS</w:t>
            </w:r>
            <w:r w:rsidR="00C46E28" w:rsidRPr="00953FB8">
              <w:rPr>
                <w:rFonts w:cs="Helvetica"/>
                <w:sz w:val="21"/>
                <w:szCs w:val="20"/>
              </w:rPr>
              <w:t>.</w:t>
            </w:r>
          </w:p>
        </w:tc>
      </w:tr>
      <w:tr w:rsidR="00491193" w:rsidRPr="00DD1657" w14:paraId="652715C6" w14:textId="77777777" w:rsidTr="00C46E28">
        <w:tc>
          <w:tcPr>
            <w:cnfStyle w:val="001000000000" w:firstRow="0" w:lastRow="0" w:firstColumn="1" w:lastColumn="0" w:oddVBand="0" w:evenVBand="0" w:oddHBand="0" w:evenHBand="0" w:firstRowFirstColumn="0" w:firstRowLastColumn="0" w:lastRowFirstColumn="0" w:lastRowLastColumn="0"/>
            <w:tcW w:w="2122" w:type="dxa"/>
          </w:tcPr>
          <w:p w14:paraId="152DE6C6" w14:textId="77777777" w:rsidR="00491193" w:rsidRPr="00953FB8" w:rsidRDefault="00491193" w:rsidP="00C46E28">
            <w:pPr>
              <w:spacing w:before="20" w:after="20"/>
              <w:rPr>
                <w:rFonts w:cs="Helvetica"/>
                <w:sz w:val="21"/>
                <w:szCs w:val="20"/>
              </w:rPr>
            </w:pPr>
            <w:r w:rsidRPr="00953FB8">
              <w:rPr>
                <w:rFonts w:cs="Helvetica"/>
                <w:sz w:val="21"/>
                <w:szCs w:val="20"/>
              </w:rPr>
              <w:t>NDAP</w:t>
            </w:r>
          </w:p>
        </w:tc>
        <w:tc>
          <w:tcPr>
            <w:tcW w:w="7228" w:type="dxa"/>
          </w:tcPr>
          <w:p w14:paraId="1CFB0622" w14:textId="5D38E342" w:rsidR="00491193" w:rsidRPr="00953FB8" w:rsidRDefault="00491193" w:rsidP="00D91E5A">
            <w:pPr>
              <w:spacing w:before="20" w:after="20"/>
              <w:cnfStyle w:val="000000000000" w:firstRow="0" w:lastRow="0" w:firstColumn="0" w:lastColumn="0" w:oddVBand="0" w:evenVBand="0" w:oddHBand="0" w:evenHBand="0" w:firstRowFirstColumn="0" w:firstRowLastColumn="0" w:lastRowFirstColumn="0" w:lastRowLastColumn="0"/>
              <w:rPr>
                <w:rFonts w:cs="Helvetica"/>
                <w:sz w:val="21"/>
                <w:szCs w:val="20"/>
              </w:rPr>
            </w:pPr>
            <w:r w:rsidRPr="00953FB8">
              <w:rPr>
                <w:rFonts w:cs="Helvetica"/>
                <w:sz w:val="21"/>
                <w:szCs w:val="20"/>
              </w:rPr>
              <w:t>The National Disability Advocacy Program (NDAP)</w:t>
            </w:r>
            <w:r w:rsidR="002C058F">
              <w:rPr>
                <w:rFonts w:cs="Helvetica"/>
                <w:sz w:val="21"/>
                <w:szCs w:val="20"/>
              </w:rPr>
              <w:t>,</w:t>
            </w:r>
            <w:r w:rsidRPr="00953FB8">
              <w:rPr>
                <w:rFonts w:cs="Helvetica"/>
                <w:sz w:val="21"/>
                <w:szCs w:val="20"/>
              </w:rPr>
              <w:t xml:space="preserve"> individual advocacy services funded by </w:t>
            </w:r>
            <w:r w:rsidR="00D91E5A">
              <w:rPr>
                <w:rFonts w:cs="Helvetica"/>
                <w:sz w:val="21"/>
                <w:szCs w:val="20"/>
              </w:rPr>
              <w:t>DSS</w:t>
            </w:r>
            <w:r w:rsidR="009D1F10" w:rsidRPr="00953FB8">
              <w:rPr>
                <w:rFonts w:cs="Helvetica"/>
                <w:sz w:val="21"/>
                <w:szCs w:val="20"/>
              </w:rPr>
              <w:t xml:space="preserve"> to disability advocacy organisations across Australia</w:t>
            </w:r>
            <w:r w:rsidR="00C46E28" w:rsidRPr="00953FB8">
              <w:rPr>
                <w:rFonts w:cs="Helvetica"/>
                <w:sz w:val="21"/>
                <w:szCs w:val="20"/>
              </w:rPr>
              <w:t>.</w:t>
            </w:r>
          </w:p>
        </w:tc>
      </w:tr>
      <w:tr w:rsidR="000C5A76" w:rsidRPr="00DD1657" w14:paraId="6B0A985F" w14:textId="77777777" w:rsidTr="00C46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77B3B73" w14:textId="25D4DC5A" w:rsidR="000C5A76" w:rsidRPr="00953FB8" w:rsidRDefault="000C5A76">
            <w:pPr>
              <w:spacing w:before="20" w:after="20"/>
              <w:rPr>
                <w:rFonts w:cs="Helvetica"/>
                <w:sz w:val="21"/>
                <w:szCs w:val="20"/>
              </w:rPr>
            </w:pPr>
            <w:r w:rsidRPr="00953FB8">
              <w:rPr>
                <w:rFonts w:cs="Helvetica"/>
                <w:sz w:val="21"/>
                <w:szCs w:val="20"/>
              </w:rPr>
              <w:t xml:space="preserve">NDIS </w:t>
            </w:r>
            <w:r w:rsidR="0015389E">
              <w:rPr>
                <w:rFonts w:cs="Helvetica"/>
                <w:sz w:val="21"/>
                <w:szCs w:val="20"/>
              </w:rPr>
              <w:t>a</w:t>
            </w:r>
            <w:r w:rsidRPr="00953FB8">
              <w:rPr>
                <w:rFonts w:cs="Helvetica"/>
                <w:sz w:val="21"/>
                <w:szCs w:val="20"/>
              </w:rPr>
              <w:t>ppeals</w:t>
            </w:r>
            <w:r w:rsidR="00D91E5A">
              <w:rPr>
                <w:rFonts w:cs="Helvetica"/>
                <w:sz w:val="21"/>
                <w:szCs w:val="20"/>
              </w:rPr>
              <w:t xml:space="preserve"> </w:t>
            </w:r>
          </w:p>
        </w:tc>
        <w:tc>
          <w:tcPr>
            <w:tcW w:w="7228" w:type="dxa"/>
          </w:tcPr>
          <w:p w14:paraId="3DA4818B" w14:textId="4929E36B" w:rsidR="000C5A76" w:rsidRPr="00953FB8" w:rsidRDefault="00D91E5A">
            <w:pPr>
              <w:spacing w:before="20" w:after="20"/>
              <w:cnfStyle w:val="000000100000" w:firstRow="0" w:lastRow="0" w:firstColumn="0" w:lastColumn="0" w:oddVBand="0" w:evenVBand="0" w:oddHBand="1" w:evenHBand="0" w:firstRowFirstColumn="0" w:firstRowLastColumn="0" w:lastRowFirstColumn="0" w:lastRowLastColumn="0"/>
              <w:rPr>
                <w:rFonts w:cs="Helvetica"/>
                <w:sz w:val="21"/>
                <w:szCs w:val="20"/>
              </w:rPr>
            </w:pPr>
            <w:r>
              <w:rPr>
                <w:rFonts w:cs="Helvetica"/>
                <w:sz w:val="21"/>
                <w:szCs w:val="20"/>
              </w:rPr>
              <w:t>NDIS Appeals Program</w:t>
            </w:r>
            <w:r w:rsidR="003A42A0">
              <w:rPr>
                <w:rFonts w:cs="Helvetica"/>
                <w:sz w:val="21"/>
                <w:szCs w:val="20"/>
              </w:rPr>
              <w:t>,</w:t>
            </w:r>
            <w:r>
              <w:rPr>
                <w:rFonts w:cs="Helvetica"/>
                <w:sz w:val="21"/>
                <w:szCs w:val="20"/>
              </w:rPr>
              <w:t xml:space="preserve"> a</w:t>
            </w:r>
            <w:r w:rsidR="000C5A76" w:rsidRPr="00953FB8">
              <w:rPr>
                <w:rFonts w:cs="Helvetica"/>
                <w:sz w:val="21"/>
                <w:szCs w:val="20"/>
              </w:rPr>
              <w:t>dvocacy and legal support for external reviews</w:t>
            </w:r>
            <w:r w:rsidR="00477F28">
              <w:rPr>
                <w:rFonts w:cs="Helvetica"/>
                <w:sz w:val="21"/>
                <w:szCs w:val="20"/>
              </w:rPr>
              <w:t xml:space="preserve"> of NDIA decisions</w:t>
            </w:r>
            <w:r w:rsidR="000C5A76" w:rsidRPr="00953FB8">
              <w:rPr>
                <w:rFonts w:cs="Helvetica"/>
                <w:sz w:val="21"/>
                <w:szCs w:val="20"/>
              </w:rPr>
              <w:t>, funded by DSS</w:t>
            </w:r>
            <w:r w:rsidR="00E723B3">
              <w:rPr>
                <w:rFonts w:cs="Helvetica"/>
                <w:sz w:val="21"/>
                <w:szCs w:val="20"/>
              </w:rPr>
              <w:t>.</w:t>
            </w:r>
          </w:p>
        </w:tc>
      </w:tr>
      <w:tr w:rsidR="00B07D03" w:rsidRPr="00DD1657" w14:paraId="47FDA790" w14:textId="77777777" w:rsidTr="00C46E28">
        <w:tc>
          <w:tcPr>
            <w:cnfStyle w:val="001000000000" w:firstRow="0" w:lastRow="0" w:firstColumn="1" w:lastColumn="0" w:oddVBand="0" w:evenVBand="0" w:oddHBand="0" w:evenHBand="0" w:firstRowFirstColumn="0" w:firstRowLastColumn="0" w:lastRowFirstColumn="0" w:lastRowLastColumn="0"/>
            <w:tcW w:w="2122" w:type="dxa"/>
          </w:tcPr>
          <w:p w14:paraId="10845D6A" w14:textId="77777777" w:rsidR="00B07D03" w:rsidRPr="00953FB8" w:rsidRDefault="00B07D03" w:rsidP="00C46E28">
            <w:pPr>
              <w:spacing w:before="20" w:after="20"/>
              <w:rPr>
                <w:rFonts w:cs="Helvetica"/>
                <w:sz w:val="21"/>
                <w:szCs w:val="20"/>
              </w:rPr>
            </w:pPr>
            <w:r w:rsidRPr="00953FB8">
              <w:rPr>
                <w:rFonts w:cs="Helvetica"/>
                <w:sz w:val="21"/>
                <w:szCs w:val="20"/>
              </w:rPr>
              <w:t>Other funding</w:t>
            </w:r>
          </w:p>
        </w:tc>
        <w:tc>
          <w:tcPr>
            <w:tcW w:w="7228" w:type="dxa"/>
          </w:tcPr>
          <w:p w14:paraId="41006A5F" w14:textId="15CAED1D" w:rsidR="00B07D03" w:rsidRPr="00953FB8" w:rsidRDefault="00B07D03" w:rsidP="00C46E28">
            <w:pPr>
              <w:spacing w:before="20" w:after="20"/>
              <w:cnfStyle w:val="000000000000" w:firstRow="0" w:lastRow="0" w:firstColumn="0" w:lastColumn="0" w:oddVBand="0" w:evenVBand="0" w:oddHBand="0" w:evenHBand="0" w:firstRowFirstColumn="0" w:firstRowLastColumn="0" w:lastRowFirstColumn="0" w:lastRowLastColumn="0"/>
              <w:rPr>
                <w:rFonts w:cs="Helvetica"/>
                <w:sz w:val="21"/>
                <w:szCs w:val="20"/>
              </w:rPr>
            </w:pPr>
            <w:r w:rsidRPr="00953FB8">
              <w:rPr>
                <w:rFonts w:cs="Helvetica"/>
                <w:sz w:val="21"/>
                <w:szCs w:val="20"/>
              </w:rPr>
              <w:t>Other sources of funding received by disability advocacy organisations to provide individual advocacy</w:t>
            </w:r>
            <w:r w:rsidR="00283985" w:rsidRPr="00953FB8">
              <w:rPr>
                <w:rFonts w:cs="Helvetica"/>
                <w:sz w:val="21"/>
                <w:szCs w:val="20"/>
              </w:rPr>
              <w:t>, including from</w:t>
            </w:r>
            <w:r w:rsidRPr="00953FB8">
              <w:rPr>
                <w:rFonts w:eastAsia="Times New Roman" w:cs="Helvetica"/>
                <w:sz w:val="21"/>
                <w:szCs w:val="20"/>
                <w:lang w:eastAsia="en-AU"/>
              </w:rPr>
              <w:t xml:space="preserve"> local government</w:t>
            </w:r>
            <w:r w:rsidR="003A42A0">
              <w:rPr>
                <w:rFonts w:eastAsia="Times New Roman" w:cs="Helvetica"/>
                <w:sz w:val="21"/>
                <w:szCs w:val="20"/>
                <w:lang w:eastAsia="en-AU"/>
              </w:rPr>
              <w:t xml:space="preserve">, </w:t>
            </w:r>
            <w:r w:rsidRPr="00953FB8">
              <w:rPr>
                <w:rFonts w:eastAsia="Times New Roman" w:cs="Helvetica"/>
                <w:sz w:val="21"/>
                <w:szCs w:val="20"/>
                <w:lang w:eastAsia="en-AU"/>
              </w:rPr>
              <w:t>or philanthropic funding.</w:t>
            </w:r>
          </w:p>
        </w:tc>
      </w:tr>
      <w:tr w:rsidR="00B07D03" w:rsidRPr="00DD1657" w14:paraId="44D91E85" w14:textId="77777777" w:rsidTr="00C46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9120C1D" w14:textId="6F6F701A" w:rsidR="00B07D03" w:rsidRPr="00953FB8" w:rsidRDefault="00B07D03" w:rsidP="00C46E28">
            <w:pPr>
              <w:spacing w:before="20" w:after="20"/>
              <w:rPr>
                <w:rFonts w:cs="Helvetica"/>
                <w:sz w:val="21"/>
                <w:szCs w:val="20"/>
              </w:rPr>
            </w:pPr>
            <w:r w:rsidRPr="00953FB8">
              <w:rPr>
                <w:rFonts w:cs="Helvetica"/>
                <w:sz w:val="21"/>
                <w:szCs w:val="20"/>
              </w:rPr>
              <w:t>State/</w:t>
            </w:r>
            <w:r w:rsidR="0015389E">
              <w:rPr>
                <w:rFonts w:cs="Helvetica"/>
                <w:sz w:val="21"/>
                <w:szCs w:val="20"/>
              </w:rPr>
              <w:t xml:space="preserve"> t</w:t>
            </w:r>
            <w:r w:rsidRPr="00953FB8">
              <w:rPr>
                <w:rFonts w:cs="Helvetica"/>
                <w:sz w:val="21"/>
                <w:szCs w:val="20"/>
              </w:rPr>
              <w:t>erritory funding</w:t>
            </w:r>
          </w:p>
        </w:tc>
        <w:tc>
          <w:tcPr>
            <w:tcW w:w="7228" w:type="dxa"/>
          </w:tcPr>
          <w:p w14:paraId="74679557" w14:textId="76BFC846" w:rsidR="00B07D03" w:rsidRPr="00953FB8" w:rsidRDefault="00B07D03" w:rsidP="00C46E28">
            <w:pPr>
              <w:spacing w:before="20" w:after="20"/>
              <w:cnfStyle w:val="000000100000" w:firstRow="0" w:lastRow="0" w:firstColumn="0" w:lastColumn="0" w:oddVBand="0" w:evenVBand="0" w:oddHBand="1" w:evenHBand="0" w:firstRowFirstColumn="0" w:firstRowLastColumn="0" w:lastRowFirstColumn="0" w:lastRowLastColumn="0"/>
              <w:rPr>
                <w:rFonts w:cs="Helvetica"/>
                <w:sz w:val="21"/>
                <w:szCs w:val="20"/>
              </w:rPr>
            </w:pPr>
            <w:r w:rsidRPr="00953FB8">
              <w:rPr>
                <w:rFonts w:cs="Helvetica"/>
                <w:sz w:val="21"/>
                <w:szCs w:val="20"/>
              </w:rPr>
              <w:t xml:space="preserve">Individual advocacy services funded by </w:t>
            </w:r>
            <w:r w:rsidR="001E71C0">
              <w:rPr>
                <w:rFonts w:cs="Helvetica"/>
                <w:sz w:val="21"/>
                <w:szCs w:val="20"/>
              </w:rPr>
              <w:t>s</w:t>
            </w:r>
            <w:r w:rsidRPr="00953FB8">
              <w:rPr>
                <w:rFonts w:cs="Helvetica"/>
                <w:sz w:val="21"/>
                <w:szCs w:val="20"/>
              </w:rPr>
              <w:t xml:space="preserve">tate or </w:t>
            </w:r>
            <w:r w:rsidR="001E71C0">
              <w:rPr>
                <w:rFonts w:cs="Helvetica"/>
                <w:sz w:val="21"/>
                <w:szCs w:val="20"/>
              </w:rPr>
              <w:t>t</w:t>
            </w:r>
            <w:r w:rsidRPr="00953FB8">
              <w:rPr>
                <w:rFonts w:cs="Helvetica"/>
                <w:sz w:val="21"/>
                <w:szCs w:val="20"/>
              </w:rPr>
              <w:t>erritory governments</w:t>
            </w:r>
            <w:r w:rsidR="00C46E28" w:rsidRPr="00953FB8">
              <w:rPr>
                <w:rFonts w:cs="Helvetica"/>
                <w:sz w:val="21"/>
                <w:szCs w:val="20"/>
              </w:rPr>
              <w:t>.</w:t>
            </w:r>
          </w:p>
        </w:tc>
      </w:tr>
      <w:tr w:rsidR="00B07D03" w:rsidRPr="00DD1657" w14:paraId="25DCD248" w14:textId="77777777" w:rsidTr="00617FE6">
        <w:trPr>
          <w:trHeight w:val="590"/>
        </w:trPr>
        <w:tc>
          <w:tcPr>
            <w:cnfStyle w:val="001000000000" w:firstRow="0" w:lastRow="0" w:firstColumn="1" w:lastColumn="0" w:oddVBand="0" w:evenVBand="0" w:oddHBand="0" w:evenHBand="0" w:firstRowFirstColumn="0" w:firstRowLastColumn="0" w:lastRowFirstColumn="0" w:lastRowLastColumn="0"/>
            <w:tcW w:w="2122" w:type="dxa"/>
            <w:shd w:val="clear" w:color="auto" w:fill="0A253E"/>
          </w:tcPr>
          <w:p w14:paraId="5874AE27" w14:textId="77777777" w:rsidR="00B07D03" w:rsidRPr="00953FB8" w:rsidRDefault="00B07D03" w:rsidP="00C46E28">
            <w:pPr>
              <w:spacing w:before="20" w:after="20"/>
              <w:rPr>
                <w:rFonts w:cs="Helvetica"/>
                <w:b w:val="0"/>
                <w:bCs w:val="0"/>
                <w:sz w:val="21"/>
                <w:szCs w:val="20"/>
              </w:rPr>
            </w:pPr>
            <w:r w:rsidRPr="00953FB8">
              <w:rPr>
                <w:rFonts w:cs="Helvetica"/>
                <w:sz w:val="21"/>
                <w:szCs w:val="20"/>
              </w:rPr>
              <w:t>Measures in this research</w:t>
            </w:r>
          </w:p>
        </w:tc>
        <w:tc>
          <w:tcPr>
            <w:tcW w:w="7228" w:type="dxa"/>
            <w:shd w:val="clear" w:color="auto" w:fill="0A253E"/>
          </w:tcPr>
          <w:p w14:paraId="0F4A0635" w14:textId="77777777" w:rsidR="00B07D03" w:rsidRPr="00953FB8" w:rsidRDefault="00B07D03" w:rsidP="00C46E28">
            <w:pPr>
              <w:spacing w:before="20" w:after="20"/>
              <w:cnfStyle w:val="000000000000" w:firstRow="0" w:lastRow="0" w:firstColumn="0" w:lastColumn="0" w:oddVBand="0" w:evenVBand="0" w:oddHBand="0" w:evenHBand="0" w:firstRowFirstColumn="0" w:firstRowLastColumn="0" w:lastRowFirstColumn="0" w:lastRowLastColumn="0"/>
              <w:rPr>
                <w:rFonts w:cs="Helvetica"/>
                <w:b/>
                <w:bCs/>
                <w:sz w:val="21"/>
                <w:szCs w:val="20"/>
              </w:rPr>
            </w:pPr>
            <w:r w:rsidRPr="001D552D">
              <w:rPr>
                <w:rFonts w:cs="Helvetica"/>
                <w:b/>
                <w:bCs/>
                <w:sz w:val="21"/>
                <w:szCs w:val="20"/>
              </w:rPr>
              <w:t>Explanation</w:t>
            </w:r>
          </w:p>
        </w:tc>
      </w:tr>
      <w:tr w:rsidR="00B07D03" w:rsidRPr="00DD1657" w14:paraId="78769008" w14:textId="77777777" w:rsidTr="00C46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37BE262" w14:textId="77777777" w:rsidR="00B07D03" w:rsidRPr="00953FB8" w:rsidRDefault="00B07D03" w:rsidP="00C46E28">
            <w:pPr>
              <w:spacing w:before="20" w:after="20"/>
              <w:rPr>
                <w:rFonts w:cs="Helvetica"/>
                <w:sz w:val="21"/>
                <w:szCs w:val="20"/>
              </w:rPr>
            </w:pPr>
            <w:r w:rsidRPr="00953FB8">
              <w:rPr>
                <w:rFonts w:cs="Helvetica"/>
                <w:sz w:val="21"/>
                <w:szCs w:val="20"/>
              </w:rPr>
              <w:t>Eligible request</w:t>
            </w:r>
          </w:p>
        </w:tc>
        <w:tc>
          <w:tcPr>
            <w:tcW w:w="7228" w:type="dxa"/>
          </w:tcPr>
          <w:p w14:paraId="62A8955A" w14:textId="77777777" w:rsidR="00B07D03" w:rsidRPr="00953FB8" w:rsidRDefault="00B07D03" w:rsidP="00C46E28">
            <w:pPr>
              <w:spacing w:before="20" w:after="20"/>
              <w:cnfStyle w:val="000000100000" w:firstRow="0" w:lastRow="0" w:firstColumn="0" w:lastColumn="0" w:oddVBand="0" w:evenVBand="0" w:oddHBand="1" w:evenHBand="0" w:firstRowFirstColumn="0" w:firstRowLastColumn="0" w:lastRowFirstColumn="0" w:lastRowLastColumn="0"/>
              <w:rPr>
                <w:rFonts w:cs="Helvetica"/>
                <w:sz w:val="21"/>
                <w:szCs w:val="20"/>
              </w:rPr>
            </w:pPr>
            <w:r w:rsidRPr="00953FB8">
              <w:rPr>
                <w:rFonts w:cs="Helvetica"/>
                <w:sz w:val="21"/>
                <w:szCs w:val="20"/>
              </w:rPr>
              <w:t xml:space="preserve">Request for advocacy that meets the disability advocacy organisation’s eligibility </w:t>
            </w:r>
            <w:r w:rsidR="00123E5F" w:rsidRPr="00953FB8">
              <w:rPr>
                <w:rFonts w:cs="Helvetica"/>
                <w:sz w:val="21"/>
                <w:szCs w:val="20"/>
              </w:rPr>
              <w:t>criteria,</w:t>
            </w:r>
            <w:r w:rsidRPr="00953FB8">
              <w:rPr>
                <w:rFonts w:cs="Helvetica"/>
                <w:sz w:val="21"/>
                <w:szCs w:val="20"/>
              </w:rPr>
              <w:t xml:space="preserve"> and the person resides within the funded service area.</w:t>
            </w:r>
          </w:p>
        </w:tc>
      </w:tr>
      <w:tr w:rsidR="00B07D03" w:rsidRPr="00DD1657" w14:paraId="6648EB86" w14:textId="77777777" w:rsidTr="00C46E28">
        <w:tc>
          <w:tcPr>
            <w:cnfStyle w:val="001000000000" w:firstRow="0" w:lastRow="0" w:firstColumn="1" w:lastColumn="0" w:oddVBand="0" w:evenVBand="0" w:oddHBand="0" w:evenHBand="0" w:firstRowFirstColumn="0" w:firstRowLastColumn="0" w:lastRowFirstColumn="0" w:lastRowLastColumn="0"/>
            <w:tcW w:w="2122" w:type="dxa"/>
          </w:tcPr>
          <w:p w14:paraId="77808A26" w14:textId="77777777" w:rsidR="00B07D03" w:rsidRPr="00953FB8" w:rsidRDefault="00B07D03" w:rsidP="00C46E28">
            <w:pPr>
              <w:spacing w:before="20" w:after="20"/>
              <w:rPr>
                <w:rFonts w:cs="Helvetica"/>
                <w:sz w:val="21"/>
                <w:szCs w:val="20"/>
              </w:rPr>
            </w:pPr>
            <w:r w:rsidRPr="00953FB8">
              <w:rPr>
                <w:rFonts w:cs="Helvetica"/>
                <w:sz w:val="21"/>
                <w:szCs w:val="20"/>
              </w:rPr>
              <w:t>Ineligible request</w:t>
            </w:r>
          </w:p>
        </w:tc>
        <w:tc>
          <w:tcPr>
            <w:tcW w:w="7228" w:type="dxa"/>
          </w:tcPr>
          <w:p w14:paraId="1940CEC4" w14:textId="77777777" w:rsidR="00B07D03" w:rsidRPr="00953FB8" w:rsidRDefault="00B07D03" w:rsidP="00C46E28">
            <w:pPr>
              <w:spacing w:before="20" w:after="20"/>
              <w:cnfStyle w:val="000000000000" w:firstRow="0" w:lastRow="0" w:firstColumn="0" w:lastColumn="0" w:oddVBand="0" w:evenVBand="0" w:oddHBand="0" w:evenHBand="0" w:firstRowFirstColumn="0" w:firstRowLastColumn="0" w:lastRowFirstColumn="0" w:lastRowLastColumn="0"/>
              <w:rPr>
                <w:rFonts w:cs="Helvetica"/>
                <w:sz w:val="21"/>
                <w:szCs w:val="20"/>
              </w:rPr>
            </w:pPr>
            <w:r w:rsidRPr="00953FB8">
              <w:rPr>
                <w:rFonts w:cs="Helvetica"/>
                <w:sz w:val="21"/>
                <w:szCs w:val="20"/>
              </w:rPr>
              <w:t>Out of organisation’s service area or out of the scope of the disability advocacy organisation, for example, needing a different service.</w:t>
            </w:r>
          </w:p>
        </w:tc>
      </w:tr>
    </w:tbl>
    <w:p w14:paraId="2D2D1489" w14:textId="77777777" w:rsidR="69EBFD81" w:rsidRPr="00E3687A" w:rsidRDefault="00D55DB3" w:rsidP="00525596">
      <w:pPr>
        <w:pStyle w:val="Heading1"/>
      </w:pPr>
      <w:bookmarkStart w:id="3" w:name="_Toc149667968"/>
      <w:r w:rsidRPr="00E3687A">
        <w:lastRenderedPageBreak/>
        <w:t>Executive Summary</w:t>
      </w:r>
      <w:bookmarkEnd w:id="3"/>
    </w:p>
    <w:p w14:paraId="3579A71C" w14:textId="77777777" w:rsidR="00701221" w:rsidRPr="00E3687A" w:rsidRDefault="00A26A90" w:rsidP="00ED2D43">
      <w:pPr>
        <w:pStyle w:val="Heading4"/>
      </w:pPr>
      <w:r w:rsidRPr="00E3687A">
        <w:t xml:space="preserve">Introduction </w:t>
      </w:r>
      <w:r w:rsidR="00F7055A" w:rsidRPr="00E3687A">
        <w:t>and</w:t>
      </w:r>
      <w:r w:rsidRPr="00E3687A">
        <w:t xml:space="preserve"> Purpose</w:t>
      </w:r>
    </w:p>
    <w:p w14:paraId="170CA0C3" w14:textId="51BC6733" w:rsidR="002A7E34" w:rsidRPr="00C46E28" w:rsidRDefault="002A7E34" w:rsidP="00C13E2C">
      <w:r w:rsidRPr="00C46E28">
        <w:t>Access to disability advocacy support is very important for people with disability, their families and carers</w:t>
      </w:r>
      <w:r w:rsidR="0020156F">
        <w:t xml:space="preserve"> </w:t>
      </w:r>
      <w:r w:rsidRPr="00C46E28">
        <w:t xml:space="preserve">to assist in upholding </w:t>
      </w:r>
      <w:r w:rsidR="00ED2D43" w:rsidRPr="00C46E28">
        <w:t xml:space="preserve">their </w:t>
      </w:r>
      <w:r w:rsidRPr="00C46E28">
        <w:t>human rights</w:t>
      </w:r>
      <w:r w:rsidR="00C8335D">
        <w:t xml:space="preserve"> and </w:t>
      </w:r>
      <w:r w:rsidRPr="00C46E28">
        <w:t>access</w:t>
      </w:r>
      <w:r w:rsidR="00ED2D43" w:rsidRPr="00C46E28">
        <w:t>ing</w:t>
      </w:r>
      <w:r w:rsidRPr="00C46E28">
        <w:t xml:space="preserve"> services and support needed for a </w:t>
      </w:r>
      <w:r w:rsidR="00B86AE0" w:rsidRPr="00C46E28">
        <w:t>good</w:t>
      </w:r>
      <w:r w:rsidRPr="00C46E28">
        <w:t xml:space="preserve"> life. </w:t>
      </w:r>
      <w:r w:rsidR="007C0D6E" w:rsidRPr="00C46E28">
        <w:t>Independent</w:t>
      </w:r>
      <w:r w:rsidR="00A11F44" w:rsidRPr="00C46E28">
        <w:t xml:space="preserve"> </w:t>
      </w:r>
      <w:r w:rsidR="007C0D6E" w:rsidRPr="00C46E28">
        <w:t>d</w:t>
      </w:r>
      <w:r w:rsidRPr="00C46E28">
        <w:t>isability advocacy is provided by</w:t>
      </w:r>
      <w:r w:rsidR="00943817" w:rsidRPr="00C46E28">
        <w:t xml:space="preserve"> a</w:t>
      </w:r>
      <w:r w:rsidR="007C0D6E" w:rsidRPr="00C46E28">
        <w:t xml:space="preserve"> </w:t>
      </w:r>
      <w:r w:rsidRPr="00C46E28">
        <w:t>diverse</w:t>
      </w:r>
      <w:r w:rsidR="00957015" w:rsidRPr="00C46E28">
        <w:t xml:space="preserve"> range of</w:t>
      </w:r>
      <w:r w:rsidRPr="00C46E28">
        <w:t xml:space="preserve"> organisations across </w:t>
      </w:r>
      <w:r w:rsidR="00ED2D43" w:rsidRPr="00C46E28">
        <w:t>Australia</w:t>
      </w:r>
      <w:r w:rsidRPr="00C46E28">
        <w:t xml:space="preserve"> </w:t>
      </w:r>
      <w:r w:rsidR="00957015" w:rsidRPr="00C46E28">
        <w:t xml:space="preserve">including </w:t>
      </w:r>
      <w:r w:rsidR="00C13D17" w:rsidRPr="00C46E28">
        <w:t xml:space="preserve">59 funded </w:t>
      </w:r>
      <w:r w:rsidR="00A414AA" w:rsidRPr="00C46E28">
        <w:t>through the</w:t>
      </w:r>
      <w:r w:rsidRPr="00C46E28">
        <w:t xml:space="preserve"> National Disability Advocacy Program (NDAP)</w:t>
      </w:r>
      <w:r w:rsidR="00C13D17" w:rsidRPr="00C46E28">
        <w:t xml:space="preserve"> </w:t>
      </w:r>
      <w:r w:rsidRPr="00C46E28">
        <w:t xml:space="preserve">and a range of other </w:t>
      </w:r>
      <w:r w:rsidR="00ED2D43" w:rsidRPr="00C46E28">
        <w:t xml:space="preserve">national, state and territory </w:t>
      </w:r>
      <w:r w:rsidRPr="00C46E28">
        <w:t>fund</w:t>
      </w:r>
      <w:r w:rsidR="00B86AE0" w:rsidRPr="00C46E28">
        <w:t>ed organisations</w:t>
      </w:r>
      <w:r w:rsidRPr="00C46E28">
        <w:t xml:space="preserve">. </w:t>
      </w:r>
      <w:r w:rsidR="000568C6">
        <w:t>E</w:t>
      </w:r>
      <w:r w:rsidRPr="00C46E28">
        <w:t xml:space="preserve">xtensive anecdotal reports indicate considerable unmet demand for advocacy </w:t>
      </w:r>
      <w:r w:rsidR="000568C6">
        <w:t>resulting in</w:t>
      </w:r>
      <w:r w:rsidR="000568C6" w:rsidRPr="00C46E28">
        <w:t xml:space="preserve"> </w:t>
      </w:r>
      <w:r w:rsidRPr="00C46E28">
        <w:t>people with disability missing out</w:t>
      </w:r>
      <w:r w:rsidR="000568C6">
        <w:t>. This is</w:t>
      </w:r>
      <w:r w:rsidR="0020156F">
        <w:t xml:space="preserve"> </w:t>
      </w:r>
      <w:r w:rsidRPr="00C46E28">
        <w:t xml:space="preserve">largely due to limited resourcing and capacity constraints </w:t>
      </w:r>
      <w:r w:rsidR="000568C6">
        <w:t>on disability advocacy</w:t>
      </w:r>
      <w:r w:rsidRPr="00C46E28">
        <w:t xml:space="preserve"> organisations. </w:t>
      </w:r>
      <w:r w:rsidR="0061598D">
        <w:t>I</w:t>
      </w:r>
      <w:r w:rsidR="00ED2D43" w:rsidRPr="00C46E28">
        <w:t>ncreased requests for disability advocacy support ha</w:t>
      </w:r>
      <w:r w:rsidR="0061598D">
        <w:t>ve</w:t>
      </w:r>
      <w:r w:rsidR="00ED2D43" w:rsidRPr="00C46E28">
        <w:t xml:space="preserve"> been observed </w:t>
      </w:r>
      <w:r w:rsidRPr="00C46E28">
        <w:t>following the introduction of the National Disability Insurance Scheme</w:t>
      </w:r>
      <w:r w:rsidR="005D2A6A" w:rsidRPr="00C46E28">
        <w:t xml:space="preserve"> (NDIS)</w:t>
      </w:r>
      <w:r w:rsidRPr="00C46E28">
        <w:t>.</w:t>
      </w:r>
    </w:p>
    <w:p w14:paraId="5A80062C" w14:textId="0A3AB040" w:rsidR="00110B87" w:rsidRPr="00C46E28" w:rsidRDefault="00F972C6" w:rsidP="00C13E2C">
      <w:r w:rsidRPr="00C46E28">
        <w:t xml:space="preserve">Disability Advocacy Network Australia (DANA) was funded by the Department of Social Services (DSS) in 2021-22 to undertake research to better understand </w:t>
      </w:r>
      <w:r w:rsidR="002A7E34" w:rsidRPr="00C46E28">
        <w:t>the issue</w:t>
      </w:r>
      <w:r w:rsidR="005D2A6A" w:rsidRPr="00C46E28">
        <w:t xml:space="preserve"> </w:t>
      </w:r>
      <w:r w:rsidR="005B4D2F">
        <w:t xml:space="preserve">of unmet demand </w:t>
      </w:r>
      <w:r w:rsidR="005D2A6A" w:rsidRPr="00C46E28">
        <w:t xml:space="preserve">and the factors impacting </w:t>
      </w:r>
      <w:r w:rsidR="00FC688E">
        <w:t xml:space="preserve">the </w:t>
      </w:r>
      <w:r w:rsidR="005D2A6A" w:rsidRPr="00C46E28">
        <w:t xml:space="preserve">provision of advocacy support. </w:t>
      </w:r>
      <w:r w:rsidR="005B4D2F">
        <w:t>This research will</w:t>
      </w:r>
      <w:r w:rsidR="005B4D2F" w:rsidRPr="00C46E28">
        <w:t xml:space="preserve"> </w:t>
      </w:r>
      <w:r w:rsidR="00700BB6">
        <w:t xml:space="preserve">help to </w:t>
      </w:r>
      <w:r w:rsidR="00FE7269">
        <w:t>be</w:t>
      </w:r>
      <w:r w:rsidR="006212AC">
        <w:t>gin</w:t>
      </w:r>
      <w:r w:rsidR="00FE7269">
        <w:t xml:space="preserve"> </w:t>
      </w:r>
      <w:r w:rsidR="005B4D2F" w:rsidRPr="00C46E28">
        <w:t>establish</w:t>
      </w:r>
      <w:r w:rsidR="00FE7269">
        <w:t>ing</w:t>
      </w:r>
      <w:r w:rsidR="005B4D2F" w:rsidRPr="00C46E28">
        <w:t xml:space="preserve"> a solid evidence base of the extent and nature of </w:t>
      </w:r>
      <w:r w:rsidR="006212AC">
        <w:t xml:space="preserve">unmet demand in the disability advocacy sector, </w:t>
      </w:r>
      <w:r w:rsidR="005B4D2F" w:rsidRPr="00C46E28">
        <w:t xml:space="preserve">the intake and referral processes used by disability advocacy organisations and the barriers </w:t>
      </w:r>
      <w:r w:rsidR="00F05FF4">
        <w:t>in</w:t>
      </w:r>
      <w:r w:rsidR="005B4D2F" w:rsidRPr="00C46E28">
        <w:t xml:space="preserve"> meeting demand for support across the sector. </w:t>
      </w:r>
      <w:r w:rsidR="00525596" w:rsidRPr="00C46E28">
        <w:t xml:space="preserve">It was </w:t>
      </w:r>
      <w:r w:rsidR="00136141" w:rsidRPr="00C46E28">
        <w:t xml:space="preserve">also </w:t>
      </w:r>
      <w:r w:rsidR="00525596" w:rsidRPr="00C46E28">
        <w:t xml:space="preserve">an opportunity to gather preliminary insights into sector capacity. </w:t>
      </w:r>
      <w:r w:rsidR="005D2A6A" w:rsidRPr="00C46E28">
        <w:t>A</w:t>
      </w:r>
      <w:r w:rsidR="00136141" w:rsidRPr="00C46E28">
        <w:t xml:space="preserve">s part of the project </w:t>
      </w:r>
      <w:r w:rsidR="00110B87" w:rsidRPr="00C46E28">
        <w:t xml:space="preserve">DANA </w:t>
      </w:r>
      <w:r w:rsidR="00327C38" w:rsidRPr="00C46E28">
        <w:t xml:space="preserve">was </w:t>
      </w:r>
      <w:r w:rsidR="00110B87" w:rsidRPr="00C46E28">
        <w:t xml:space="preserve">required </w:t>
      </w:r>
      <w:r w:rsidR="00327C38" w:rsidRPr="00C46E28">
        <w:t xml:space="preserve">to </w:t>
      </w:r>
      <w:r w:rsidR="00110B87" w:rsidRPr="00C46E28">
        <w:t xml:space="preserve">develop an </w:t>
      </w:r>
      <w:r w:rsidR="00110B87" w:rsidRPr="00C46E28">
        <w:rPr>
          <w:i/>
          <w:iCs/>
        </w:rPr>
        <w:t>Intake Reference Guide</w:t>
      </w:r>
      <w:r w:rsidR="00110B87" w:rsidRPr="00C46E28">
        <w:t xml:space="preserve"> as a resource to assist disability advocacy organisations </w:t>
      </w:r>
      <w:r w:rsidR="00327C38" w:rsidRPr="00C46E28">
        <w:t>in</w:t>
      </w:r>
      <w:r w:rsidR="00110B87" w:rsidRPr="00C46E28">
        <w:t xml:space="preserve"> manag</w:t>
      </w:r>
      <w:r w:rsidR="00327C38" w:rsidRPr="00C46E28">
        <w:t>ing</w:t>
      </w:r>
      <w:r w:rsidR="00110B87" w:rsidRPr="00C46E28">
        <w:t xml:space="preserve"> demand.</w:t>
      </w:r>
      <w:r w:rsidR="00B86AE0" w:rsidRPr="00C46E28">
        <w:rPr>
          <w:rStyle w:val="FootnoteReference"/>
          <w:rFonts w:eastAsia="Helvetica" w:cs="Helvetica"/>
          <w:color w:val="000000" w:themeColor="text1"/>
          <w:sz w:val="24"/>
        </w:rPr>
        <w:footnoteReference w:id="2"/>
      </w:r>
    </w:p>
    <w:p w14:paraId="7C799BB3" w14:textId="77777777" w:rsidR="003A2CB6" w:rsidRPr="00E3687A" w:rsidRDefault="003A2CB6" w:rsidP="003D72FC">
      <w:pPr>
        <w:pStyle w:val="Heading4"/>
        <w:rPr>
          <w:rFonts w:eastAsia="Helvetica"/>
        </w:rPr>
      </w:pPr>
      <w:r w:rsidRPr="00E3687A">
        <w:rPr>
          <w:rFonts w:eastAsia="Helvetica"/>
        </w:rPr>
        <w:t>Methodology</w:t>
      </w:r>
    </w:p>
    <w:p w14:paraId="3394E6C6" w14:textId="691DCB1E" w:rsidR="00DD3644" w:rsidRDefault="00DD3644" w:rsidP="00C13E2C">
      <w:r>
        <w:t>The project used a mixed methods</w:t>
      </w:r>
      <w:r w:rsidRPr="00FC23BA">
        <w:t xml:space="preserve"> </w:t>
      </w:r>
      <w:r>
        <w:t xml:space="preserve">approach to gather both quantitative and qualitative data over a </w:t>
      </w:r>
      <w:r w:rsidR="007B736D">
        <w:t>6-</w:t>
      </w:r>
      <w:r>
        <w:t xml:space="preserve">month period from September 2021 to February 2022. Quantitative data was gathered directly from the disability advocacy sector and informs the findings of this report. Quantitative and qualitative data was gathered from </w:t>
      </w:r>
      <w:r w:rsidRPr="00FC23BA">
        <w:t xml:space="preserve">disability advocacy organisations </w:t>
      </w:r>
      <w:r>
        <w:t>across Australia as well as</w:t>
      </w:r>
      <w:r w:rsidRPr="00FC23BA">
        <w:t xml:space="preserve"> </w:t>
      </w:r>
      <w:r>
        <w:t xml:space="preserve">several </w:t>
      </w:r>
      <w:r w:rsidRPr="00FC23BA">
        <w:t xml:space="preserve">other </w:t>
      </w:r>
      <w:r>
        <w:t xml:space="preserve">related </w:t>
      </w:r>
      <w:r w:rsidRPr="00FC23BA">
        <w:t>sectors (such as community legal centres and financial counselling</w:t>
      </w:r>
      <w:r>
        <w:t xml:space="preserve"> services). Whilst qualitative data from the disability advocacy sector has been discussed throughout this report, the qualitative data collected from related sectors was used to inform the development of the </w:t>
      </w:r>
      <w:r>
        <w:rPr>
          <w:i/>
          <w:iCs/>
        </w:rPr>
        <w:t>Intake Reference Guide.</w:t>
      </w:r>
    </w:p>
    <w:p w14:paraId="60571A6F" w14:textId="3AB2DA2D" w:rsidR="00CD49F1" w:rsidRPr="00874713" w:rsidRDefault="00EA1F05" w:rsidP="00C13E2C">
      <w:r>
        <w:t xml:space="preserve">The research explored issues related to </w:t>
      </w:r>
      <w:r w:rsidR="00327C38" w:rsidRPr="00FC23BA">
        <w:t>demand for services</w:t>
      </w:r>
      <w:r w:rsidR="00327C38">
        <w:t xml:space="preserve">, </w:t>
      </w:r>
      <w:r w:rsidR="003A2CB6" w:rsidRPr="00FC23BA">
        <w:t xml:space="preserve">intake </w:t>
      </w:r>
      <w:r>
        <w:t xml:space="preserve">processes, </w:t>
      </w:r>
      <w:r w:rsidR="006036E6">
        <w:t xml:space="preserve">advocacy </w:t>
      </w:r>
      <w:r w:rsidR="003A2CB6">
        <w:t>issue</w:t>
      </w:r>
      <w:r w:rsidR="003A2CB6" w:rsidRPr="00FC23BA">
        <w:t xml:space="preserve"> prioritisation</w:t>
      </w:r>
      <w:r w:rsidR="00DD3644">
        <w:t>,</w:t>
      </w:r>
      <w:r w:rsidR="00327C38">
        <w:t xml:space="preserve"> and</w:t>
      </w:r>
      <w:r w:rsidR="003A2CB6" w:rsidRPr="00FC23BA">
        <w:t xml:space="preserve"> </w:t>
      </w:r>
      <w:r>
        <w:t xml:space="preserve">management of </w:t>
      </w:r>
      <w:r w:rsidR="003A2CB6" w:rsidRPr="00FC23BA">
        <w:t>waitlists</w:t>
      </w:r>
      <w:r>
        <w:t xml:space="preserve">. </w:t>
      </w:r>
      <w:r w:rsidR="003A2CB6" w:rsidRPr="00FC23BA">
        <w:t xml:space="preserve">DANA </w:t>
      </w:r>
      <w:r w:rsidR="00110B87">
        <w:t xml:space="preserve">also </w:t>
      </w:r>
      <w:r>
        <w:t>conducted</w:t>
      </w:r>
      <w:r w:rsidRPr="00FC23BA">
        <w:t xml:space="preserve"> </w:t>
      </w:r>
      <w:r w:rsidR="003A2CB6" w:rsidRPr="00FC23BA">
        <w:t xml:space="preserve">discussion forums </w:t>
      </w:r>
      <w:r w:rsidR="00364903">
        <w:t xml:space="preserve">with advocates </w:t>
      </w:r>
      <w:r w:rsidR="003A2CB6" w:rsidRPr="00FC23BA">
        <w:t xml:space="preserve">to </w:t>
      </w:r>
      <w:r w:rsidR="00327C38">
        <w:t xml:space="preserve">gather </w:t>
      </w:r>
      <w:r w:rsidR="005D2A6A">
        <w:t>information about</w:t>
      </w:r>
      <w:r w:rsidR="00327C38">
        <w:t xml:space="preserve"> </w:t>
      </w:r>
      <w:r w:rsidR="003A2CB6" w:rsidRPr="00FC23BA">
        <w:t>different</w:t>
      </w:r>
      <w:r w:rsidR="003A2CB6">
        <w:t xml:space="preserve"> intake and referral processes</w:t>
      </w:r>
      <w:r w:rsidR="003A2CB6" w:rsidRPr="00FC23BA">
        <w:t xml:space="preserve">, </w:t>
      </w:r>
      <w:r w:rsidR="00AC2BE0">
        <w:t xml:space="preserve">to explore </w:t>
      </w:r>
      <w:r w:rsidR="00F972C6">
        <w:t xml:space="preserve">capacity issues and </w:t>
      </w:r>
      <w:r w:rsidR="003A2CB6" w:rsidRPr="00FC23BA">
        <w:t>the range of challenges fac</w:t>
      </w:r>
      <w:r w:rsidR="003A2CB6">
        <w:t xml:space="preserve">ed by </w:t>
      </w:r>
      <w:r w:rsidR="00364903">
        <w:t xml:space="preserve">disability </w:t>
      </w:r>
      <w:r w:rsidR="003A2CB6">
        <w:t xml:space="preserve">advocacy organisations. </w:t>
      </w:r>
      <w:r w:rsidR="00110B87">
        <w:t xml:space="preserve">These forums </w:t>
      </w:r>
      <w:r w:rsidR="00327C38">
        <w:t>formed</w:t>
      </w:r>
      <w:r w:rsidR="008E1E28">
        <w:t xml:space="preserve"> </w:t>
      </w:r>
      <w:r w:rsidR="00110B87">
        <w:t>part of the co</w:t>
      </w:r>
      <w:r w:rsidR="0073158D">
        <w:noBreakHyphen/>
      </w:r>
      <w:r w:rsidR="00110B87">
        <w:t xml:space="preserve">design process for the </w:t>
      </w:r>
      <w:r w:rsidR="00110B87" w:rsidRPr="008E1E28">
        <w:rPr>
          <w:i/>
          <w:iCs/>
        </w:rPr>
        <w:t xml:space="preserve">Intake Reference Guide.  </w:t>
      </w:r>
    </w:p>
    <w:p w14:paraId="089E10A2" w14:textId="77777777" w:rsidR="00002B78" w:rsidRPr="00CD49F1" w:rsidRDefault="00AC3FD1" w:rsidP="00C13E2C">
      <w:r w:rsidRPr="00CD49F1">
        <w:t>Quantitative and qualitative d</w:t>
      </w:r>
      <w:r w:rsidR="003A2CB6" w:rsidRPr="00CD49F1">
        <w:t xml:space="preserve">ata </w:t>
      </w:r>
      <w:r w:rsidR="00AC2BE0">
        <w:t>were</w:t>
      </w:r>
      <w:r w:rsidR="00AC2BE0" w:rsidRPr="00CD49F1">
        <w:t xml:space="preserve"> </w:t>
      </w:r>
      <w:r w:rsidR="003A2CB6" w:rsidRPr="00CD49F1">
        <w:t>collected through:</w:t>
      </w:r>
      <w:r w:rsidR="006C4718">
        <w:t xml:space="preserve"> </w:t>
      </w:r>
    </w:p>
    <w:p w14:paraId="32F0D771" w14:textId="77777777" w:rsidR="00B756C9" w:rsidRPr="00CD49F1" w:rsidRDefault="00C46E28" w:rsidP="00037275">
      <w:pPr>
        <w:pStyle w:val="ListParagraph"/>
        <w:numPr>
          <w:ilvl w:val="0"/>
          <w:numId w:val="13"/>
        </w:numPr>
        <w:ind w:left="714" w:hanging="357"/>
        <w:rPr>
          <w:rFonts w:eastAsia="Helvetica" w:cs="Helvetica"/>
          <w:color w:val="000000" w:themeColor="text1"/>
          <w:szCs w:val="22"/>
        </w:rPr>
      </w:pPr>
      <w:r>
        <w:rPr>
          <w:rFonts w:eastAsia="Helvetica" w:cs="Helvetica"/>
          <w:color w:val="000000" w:themeColor="text1"/>
          <w:szCs w:val="22"/>
        </w:rPr>
        <w:t>M</w:t>
      </w:r>
      <w:r w:rsidR="00612BDE" w:rsidRPr="00CD49F1">
        <w:rPr>
          <w:rFonts w:eastAsia="Helvetica" w:cs="Helvetica"/>
          <w:color w:val="000000" w:themeColor="text1"/>
          <w:szCs w:val="22"/>
        </w:rPr>
        <w:t xml:space="preserve">onthly surveys sent to </w:t>
      </w:r>
      <w:r w:rsidR="00D7400C">
        <w:rPr>
          <w:rFonts w:eastAsia="Helvetica" w:cs="Helvetica"/>
          <w:color w:val="000000" w:themeColor="text1"/>
          <w:szCs w:val="22"/>
        </w:rPr>
        <w:t xml:space="preserve">DANA member </w:t>
      </w:r>
      <w:r w:rsidR="00502D33">
        <w:rPr>
          <w:rFonts w:eastAsia="Helvetica" w:cs="Helvetica"/>
          <w:color w:val="000000" w:themeColor="text1"/>
          <w:szCs w:val="22"/>
        </w:rPr>
        <w:t xml:space="preserve">organisations </w:t>
      </w:r>
      <w:r w:rsidR="00F95EC5">
        <w:rPr>
          <w:rFonts w:eastAsia="Helvetica" w:cs="Helvetica"/>
          <w:color w:val="000000" w:themeColor="text1"/>
          <w:szCs w:val="22"/>
        </w:rPr>
        <w:t>known to</w:t>
      </w:r>
      <w:r w:rsidR="000A25BE">
        <w:rPr>
          <w:rFonts w:eastAsia="Helvetica" w:cs="Helvetica"/>
          <w:color w:val="000000" w:themeColor="text1"/>
          <w:szCs w:val="22"/>
        </w:rPr>
        <w:t xml:space="preserve"> be</w:t>
      </w:r>
      <w:r w:rsidR="00BD3ABC" w:rsidRPr="00CD49F1">
        <w:rPr>
          <w:rFonts w:eastAsia="Helvetica" w:cs="Helvetica"/>
          <w:color w:val="000000" w:themeColor="text1"/>
          <w:szCs w:val="22"/>
        </w:rPr>
        <w:t xml:space="preserve"> </w:t>
      </w:r>
      <w:r w:rsidR="00BD3ABC">
        <w:rPr>
          <w:rFonts w:eastAsia="Helvetica" w:cs="Helvetica"/>
          <w:color w:val="000000" w:themeColor="text1"/>
          <w:szCs w:val="22"/>
        </w:rPr>
        <w:t xml:space="preserve">receiving </w:t>
      </w:r>
      <w:r w:rsidR="00612BDE" w:rsidRPr="00BD3ABC">
        <w:rPr>
          <w:rFonts w:eastAsia="Helvetica" w:cs="Helvetica"/>
          <w:color w:val="000000" w:themeColor="text1"/>
          <w:szCs w:val="22"/>
        </w:rPr>
        <w:t xml:space="preserve">disability advocacy </w:t>
      </w:r>
      <w:r w:rsidR="00BD3ABC">
        <w:rPr>
          <w:rFonts w:eastAsia="Helvetica" w:cs="Helvetica"/>
          <w:color w:val="000000" w:themeColor="text1"/>
          <w:szCs w:val="22"/>
        </w:rPr>
        <w:t xml:space="preserve">funding </w:t>
      </w:r>
      <w:r w:rsidR="008E1E28">
        <w:rPr>
          <w:rFonts w:eastAsia="Helvetica" w:cs="Helvetica"/>
          <w:color w:val="000000" w:themeColor="text1"/>
          <w:szCs w:val="22"/>
        </w:rPr>
        <w:t>across</w:t>
      </w:r>
      <w:r w:rsidR="008E1E28" w:rsidRPr="00CD49F1">
        <w:rPr>
          <w:rFonts w:eastAsia="Helvetica" w:cs="Helvetica"/>
          <w:color w:val="000000" w:themeColor="text1"/>
          <w:szCs w:val="22"/>
        </w:rPr>
        <w:t xml:space="preserve"> </w:t>
      </w:r>
      <w:r w:rsidR="00254974" w:rsidRPr="00CD49F1">
        <w:rPr>
          <w:rFonts w:eastAsia="Helvetica" w:cs="Helvetica"/>
          <w:color w:val="000000" w:themeColor="text1"/>
          <w:szCs w:val="22"/>
        </w:rPr>
        <w:t>Australia (n=78)</w:t>
      </w:r>
      <w:r w:rsidR="00B756C9" w:rsidRPr="00CD49F1">
        <w:rPr>
          <w:rFonts w:eastAsia="Helvetica" w:cs="Helvetica"/>
          <w:color w:val="000000" w:themeColor="text1"/>
          <w:szCs w:val="22"/>
        </w:rPr>
        <w:t xml:space="preserve"> between September 2021 and February 2022</w:t>
      </w:r>
      <w:r w:rsidR="00D37450">
        <w:rPr>
          <w:rFonts w:eastAsia="Helvetica" w:cs="Helvetica"/>
          <w:color w:val="000000" w:themeColor="text1"/>
          <w:szCs w:val="22"/>
        </w:rPr>
        <w:t>. The survey was designed to collect quantitative and qualitative data from responding organisations</w:t>
      </w:r>
      <w:r w:rsidR="008E1E28">
        <w:rPr>
          <w:rFonts w:eastAsia="Helvetica" w:cs="Helvetica"/>
          <w:color w:val="000000" w:themeColor="text1"/>
          <w:szCs w:val="22"/>
        </w:rPr>
        <w:t xml:space="preserve">. </w:t>
      </w:r>
    </w:p>
    <w:p w14:paraId="5C85D38E" w14:textId="77777777" w:rsidR="003A2CB6" w:rsidRDefault="003A2CB6" w:rsidP="00037275">
      <w:pPr>
        <w:pStyle w:val="ListParagraph"/>
        <w:numPr>
          <w:ilvl w:val="0"/>
          <w:numId w:val="13"/>
        </w:numPr>
        <w:ind w:left="714" w:hanging="357"/>
        <w:rPr>
          <w:rFonts w:eastAsia="Helvetica" w:cs="Helvetica"/>
          <w:color w:val="000000" w:themeColor="text1"/>
          <w:szCs w:val="22"/>
        </w:rPr>
      </w:pPr>
      <w:r w:rsidRPr="008E1E28">
        <w:rPr>
          <w:rFonts w:eastAsia="Helvetica" w:cs="Helvetica"/>
          <w:color w:val="000000" w:themeColor="text1"/>
          <w:szCs w:val="22"/>
        </w:rPr>
        <w:lastRenderedPageBreak/>
        <w:t xml:space="preserve">29 </w:t>
      </w:r>
      <w:r w:rsidR="00D37450" w:rsidRPr="008E1E28">
        <w:rPr>
          <w:rFonts w:eastAsia="Helvetica" w:cs="Helvetica"/>
          <w:color w:val="000000" w:themeColor="text1"/>
          <w:szCs w:val="22"/>
        </w:rPr>
        <w:t>individual</w:t>
      </w:r>
      <w:r w:rsidR="008E1E28" w:rsidRPr="008E1E28">
        <w:rPr>
          <w:rFonts w:eastAsia="Helvetica" w:cs="Helvetica"/>
          <w:color w:val="000000" w:themeColor="text1"/>
          <w:szCs w:val="22"/>
        </w:rPr>
        <w:t xml:space="preserve"> </w:t>
      </w:r>
      <w:r w:rsidRPr="008E1E28">
        <w:rPr>
          <w:rFonts w:eastAsia="Helvetica" w:cs="Helvetica"/>
          <w:color w:val="000000" w:themeColor="text1"/>
          <w:szCs w:val="22"/>
        </w:rPr>
        <w:t>interviews</w:t>
      </w:r>
      <w:r w:rsidRPr="00CD49F1">
        <w:rPr>
          <w:rFonts w:eastAsia="Helvetica" w:cs="Helvetica"/>
          <w:color w:val="000000" w:themeColor="text1"/>
          <w:szCs w:val="22"/>
        </w:rPr>
        <w:t xml:space="preserve"> with advocacy organisations</w:t>
      </w:r>
      <w:r w:rsidR="00BD3ABC">
        <w:rPr>
          <w:rFonts w:eastAsia="Helvetica" w:cs="Helvetica"/>
          <w:color w:val="000000" w:themeColor="text1"/>
          <w:szCs w:val="22"/>
        </w:rPr>
        <w:t>, advocacy clients</w:t>
      </w:r>
      <w:r w:rsidRPr="00CD49F1">
        <w:rPr>
          <w:rFonts w:eastAsia="Helvetica" w:cs="Helvetica"/>
          <w:color w:val="000000" w:themeColor="text1"/>
          <w:szCs w:val="22"/>
        </w:rPr>
        <w:t xml:space="preserve"> and related stakeholders</w:t>
      </w:r>
      <w:r w:rsidR="00C46E28">
        <w:rPr>
          <w:rFonts w:eastAsia="Helvetica" w:cs="Helvetica"/>
          <w:color w:val="000000" w:themeColor="text1"/>
          <w:szCs w:val="22"/>
        </w:rPr>
        <w:t>.</w:t>
      </w:r>
    </w:p>
    <w:p w14:paraId="1511CFB2" w14:textId="23B03F23" w:rsidR="006C4718" w:rsidRPr="0015389E" w:rsidRDefault="00364903" w:rsidP="00037275">
      <w:pPr>
        <w:pStyle w:val="ListParagraph"/>
        <w:numPr>
          <w:ilvl w:val="0"/>
          <w:numId w:val="13"/>
        </w:numPr>
        <w:ind w:left="714" w:hanging="357"/>
        <w:rPr>
          <w:szCs w:val="22"/>
        </w:rPr>
      </w:pPr>
      <w:r w:rsidRPr="000300F5">
        <w:rPr>
          <w:rFonts w:eastAsia="Helvetica" w:cs="Helvetica"/>
          <w:color w:val="000000" w:themeColor="text1"/>
          <w:szCs w:val="22"/>
        </w:rPr>
        <w:t xml:space="preserve">13 </w:t>
      </w:r>
      <w:r w:rsidR="00D37450" w:rsidRPr="000300F5">
        <w:rPr>
          <w:rFonts w:eastAsia="Helvetica" w:cs="Helvetica"/>
          <w:color w:val="000000" w:themeColor="text1"/>
          <w:szCs w:val="22"/>
        </w:rPr>
        <w:t xml:space="preserve">separate </w:t>
      </w:r>
      <w:r w:rsidR="0062796B">
        <w:rPr>
          <w:rFonts w:eastAsia="Helvetica" w:cs="Helvetica"/>
          <w:color w:val="000000" w:themeColor="text1"/>
          <w:szCs w:val="22"/>
        </w:rPr>
        <w:t>in</w:t>
      </w:r>
      <w:r w:rsidRPr="000300F5">
        <w:rPr>
          <w:rFonts w:eastAsia="Helvetica" w:cs="Helvetica"/>
          <w:color w:val="000000" w:themeColor="text1"/>
          <w:szCs w:val="22"/>
        </w:rPr>
        <w:t xml:space="preserve">take and </w:t>
      </w:r>
      <w:r w:rsidR="0062796B">
        <w:rPr>
          <w:rFonts w:eastAsia="Helvetica" w:cs="Helvetica"/>
          <w:color w:val="000000" w:themeColor="text1"/>
          <w:szCs w:val="22"/>
        </w:rPr>
        <w:t>r</w:t>
      </w:r>
      <w:r w:rsidRPr="000300F5">
        <w:rPr>
          <w:rFonts w:eastAsia="Helvetica" w:cs="Helvetica"/>
          <w:color w:val="000000" w:themeColor="text1"/>
          <w:szCs w:val="22"/>
        </w:rPr>
        <w:t xml:space="preserve">eferral stakeholder forums </w:t>
      </w:r>
      <w:r w:rsidR="00D37450" w:rsidRPr="000300F5">
        <w:rPr>
          <w:rFonts w:eastAsia="Helvetica" w:cs="Helvetica"/>
          <w:color w:val="000000" w:themeColor="text1"/>
          <w:szCs w:val="22"/>
        </w:rPr>
        <w:t xml:space="preserve">involving discussion with a total of </w:t>
      </w:r>
      <w:r w:rsidRPr="000300F5">
        <w:rPr>
          <w:rFonts w:eastAsia="Helvetica" w:cs="Helvetica"/>
          <w:color w:val="000000" w:themeColor="text1"/>
          <w:szCs w:val="22"/>
        </w:rPr>
        <w:t>11</w:t>
      </w:r>
      <w:r w:rsidR="00136141" w:rsidRPr="000300F5">
        <w:rPr>
          <w:rFonts w:eastAsia="Helvetica" w:cs="Helvetica"/>
          <w:color w:val="000000" w:themeColor="text1"/>
          <w:szCs w:val="22"/>
        </w:rPr>
        <w:t>0</w:t>
      </w:r>
      <w:r w:rsidRPr="000300F5">
        <w:rPr>
          <w:rFonts w:eastAsia="Helvetica" w:cs="Helvetica"/>
          <w:color w:val="000000" w:themeColor="text1"/>
          <w:szCs w:val="22"/>
        </w:rPr>
        <w:t xml:space="preserve"> </w:t>
      </w:r>
      <w:r w:rsidR="00136141" w:rsidRPr="000300F5">
        <w:rPr>
          <w:rFonts w:eastAsia="Helvetica" w:cs="Helvetica"/>
          <w:color w:val="000000" w:themeColor="text1"/>
          <w:szCs w:val="22"/>
        </w:rPr>
        <w:t xml:space="preserve">participating </w:t>
      </w:r>
      <w:r w:rsidRPr="000300F5">
        <w:rPr>
          <w:rFonts w:eastAsia="Helvetica" w:cs="Helvetica"/>
          <w:color w:val="000000" w:themeColor="text1"/>
          <w:szCs w:val="22"/>
        </w:rPr>
        <w:t>advocates</w:t>
      </w:r>
      <w:r w:rsidR="005204AF">
        <w:rPr>
          <w:rFonts w:eastAsia="Helvetica" w:cs="Helvetica"/>
          <w:color w:val="000000" w:themeColor="text1"/>
          <w:szCs w:val="22"/>
        </w:rPr>
        <w:t xml:space="preserve"> representing 51 disability advocacy organisations</w:t>
      </w:r>
      <w:r w:rsidR="008E1E28" w:rsidRPr="000300F5">
        <w:rPr>
          <w:rFonts w:eastAsia="Helvetica" w:cs="Helvetica"/>
          <w:color w:val="000000" w:themeColor="text1"/>
          <w:szCs w:val="22"/>
        </w:rPr>
        <w:t>.</w:t>
      </w:r>
      <w:r w:rsidR="000300F5" w:rsidRPr="000300F5">
        <w:rPr>
          <w:rFonts w:eastAsia="Helvetica" w:cs="Helvetica"/>
          <w:color w:val="000000" w:themeColor="text1"/>
          <w:szCs w:val="22"/>
        </w:rPr>
        <w:t xml:space="preserve"> </w:t>
      </w:r>
    </w:p>
    <w:p w14:paraId="46BE6AF6" w14:textId="77777777" w:rsidR="0015389E" w:rsidRPr="00C46E28" w:rsidRDefault="0015389E" w:rsidP="0015389E">
      <w:pPr>
        <w:pStyle w:val="ListParagraph"/>
        <w:ind w:left="714"/>
        <w:rPr>
          <w:szCs w:val="22"/>
        </w:rPr>
      </w:pPr>
    </w:p>
    <w:p w14:paraId="6759A2B9" w14:textId="77777777" w:rsidR="00B86AE0" w:rsidRPr="00C46E28" w:rsidRDefault="00364903" w:rsidP="0015389E">
      <w:r w:rsidRPr="008E1E28">
        <w:t>There were high levels of participation in both the survey</w:t>
      </w:r>
      <w:r w:rsidR="008E1E28">
        <w:t xml:space="preserve"> (</w:t>
      </w:r>
      <w:r w:rsidR="008E1E28">
        <w:rPr>
          <w:rFonts w:eastAsia="Helvetica" w:cs="Helvetica"/>
          <w:color w:val="000000" w:themeColor="text1"/>
        </w:rPr>
        <w:t>39 participating organisations</w:t>
      </w:r>
      <w:r w:rsidR="00136141">
        <w:t xml:space="preserve">) </w:t>
      </w:r>
      <w:r w:rsidRPr="008E1E28">
        <w:t>and the series of stakeholder forums with each state and territory</w:t>
      </w:r>
      <w:r w:rsidR="00327C38">
        <w:t xml:space="preserve">. </w:t>
      </w:r>
      <w:r w:rsidR="00ED2D43">
        <w:t>A representative cross-section</w:t>
      </w:r>
      <w:r w:rsidRPr="008E1E28">
        <w:t xml:space="preserve"> </w:t>
      </w:r>
      <w:r w:rsidR="00ED2D43">
        <w:t xml:space="preserve">of </w:t>
      </w:r>
      <w:r w:rsidRPr="008E1E28">
        <w:t xml:space="preserve">disability advocacy organisations </w:t>
      </w:r>
      <w:r w:rsidR="00ED2D43">
        <w:t>participated</w:t>
      </w:r>
      <w:r w:rsidR="00F972C6">
        <w:t xml:space="preserve"> in the research </w:t>
      </w:r>
      <w:r w:rsidR="00ED2D43">
        <w:t>including</w:t>
      </w:r>
      <w:r w:rsidR="00F972C6">
        <w:t xml:space="preserve"> across jurisdictions and from a cross-section of types and sizes of organisations</w:t>
      </w:r>
      <w:r w:rsidRPr="008E1E28">
        <w:t>.</w:t>
      </w:r>
      <w:r w:rsidR="006F2604">
        <w:t xml:space="preserve"> </w:t>
      </w:r>
    </w:p>
    <w:p w14:paraId="74C482D9" w14:textId="77777777" w:rsidR="00002B78" w:rsidRPr="00E3687A" w:rsidRDefault="00002B78" w:rsidP="003D72FC">
      <w:pPr>
        <w:pStyle w:val="Heading4"/>
        <w:rPr>
          <w:rFonts w:eastAsia="Helvetica"/>
        </w:rPr>
      </w:pPr>
      <w:r w:rsidRPr="00E3687A">
        <w:rPr>
          <w:rFonts w:eastAsia="Helvetica"/>
        </w:rPr>
        <w:t>Key Findings</w:t>
      </w:r>
    </w:p>
    <w:p w14:paraId="6347EDEF" w14:textId="5BAAC4AF" w:rsidR="003B5EAD" w:rsidRDefault="005C66BD" w:rsidP="007A408F">
      <w:pPr>
        <w:rPr>
          <w:rFonts w:eastAsia="Helvetica" w:cs="Helvetica"/>
          <w:b/>
          <w:bCs/>
          <w:color w:val="000000" w:themeColor="text1"/>
        </w:rPr>
      </w:pPr>
      <w:r>
        <w:rPr>
          <w:rFonts w:eastAsia="Helvetica" w:cs="Helvetica"/>
          <w:color w:val="000000" w:themeColor="text1"/>
        </w:rPr>
        <w:t>Request</w:t>
      </w:r>
      <w:r w:rsidR="00D064BD">
        <w:rPr>
          <w:rFonts w:eastAsia="Helvetica" w:cs="Helvetica"/>
          <w:color w:val="000000" w:themeColor="text1"/>
        </w:rPr>
        <w:t>s</w:t>
      </w:r>
      <w:r>
        <w:rPr>
          <w:rFonts w:eastAsia="Helvetica" w:cs="Helvetica"/>
          <w:color w:val="000000" w:themeColor="text1"/>
        </w:rPr>
        <w:t xml:space="preserve"> for disability advocacy are dealt with in various ways depending on the nature of the request, the organisation</w:t>
      </w:r>
      <w:r w:rsidR="00D064BD">
        <w:rPr>
          <w:rFonts w:eastAsia="Helvetica" w:cs="Helvetica"/>
          <w:color w:val="000000" w:themeColor="text1"/>
        </w:rPr>
        <w:t>’</w:t>
      </w:r>
      <w:r>
        <w:rPr>
          <w:rFonts w:eastAsia="Helvetica" w:cs="Helvetica"/>
          <w:color w:val="000000" w:themeColor="text1"/>
        </w:rPr>
        <w:t xml:space="preserve">s intake process and the capacity of the organisation. </w:t>
      </w:r>
      <w:r w:rsidR="006F52FF">
        <w:rPr>
          <w:rFonts w:eastAsia="Helvetica" w:cs="Helvetica"/>
          <w:color w:val="000000" w:themeColor="text1"/>
        </w:rPr>
        <w:t xml:space="preserve">Whilst </w:t>
      </w:r>
      <w:r w:rsidR="00133BB8">
        <w:rPr>
          <w:rFonts w:eastAsia="Helvetica" w:cs="Helvetica"/>
          <w:color w:val="000000" w:themeColor="text1"/>
        </w:rPr>
        <w:t xml:space="preserve">organisations receive enquiries for </w:t>
      </w:r>
      <w:r w:rsidR="00520A06">
        <w:rPr>
          <w:rFonts w:eastAsia="Helvetica" w:cs="Helvetica"/>
          <w:color w:val="000000" w:themeColor="text1"/>
        </w:rPr>
        <w:t xml:space="preserve">advocacy support, </w:t>
      </w:r>
      <w:r w:rsidR="007A408F">
        <w:rPr>
          <w:rFonts w:eastAsia="Helvetica" w:cs="Helvetica"/>
          <w:color w:val="000000" w:themeColor="text1"/>
        </w:rPr>
        <w:t xml:space="preserve">not all requests are eligible for </w:t>
      </w:r>
      <w:r w:rsidR="006D12FB">
        <w:rPr>
          <w:rFonts w:eastAsia="Helvetica" w:cs="Helvetica"/>
          <w:color w:val="000000" w:themeColor="text1"/>
        </w:rPr>
        <w:t xml:space="preserve">disability </w:t>
      </w:r>
      <w:r w:rsidR="007A408F">
        <w:rPr>
          <w:rFonts w:eastAsia="Helvetica" w:cs="Helvetica"/>
          <w:color w:val="000000" w:themeColor="text1"/>
        </w:rPr>
        <w:t>advocacy assistance. This</w:t>
      </w:r>
      <w:r w:rsidR="00571A49">
        <w:rPr>
          <w:rFonts w:eastAsia="Helvetica" w:cs="Helvetica"/>
          <w:color w:val="000000" w:themeColor="text1"/>
        </w:rPr>
        <w:t xml:space="preserve"> is due to</w:t>
      </w:r>
      <w:r w:rsidR="003B5EAD">
        <w:rPr>
          <w:rFonts w:eastAsia="Helvetica" w:cs="Helvetica"/>
          <w:color w:val="000000" w:themeColor="text1"/>
        </w:rPr>
        <w:t xml:space="preserve"> a number of reasons discussed in the full report.</w:t>
      </w:r>
      <w:r w:rsidR="00981BFE">
        <w:rPr>
          <w:rFonts w:eastAsia="Helvetica" w:cs="Helvetica"/>
          <w:color w:val="000000" w:themeColor="text1"/>
        </w:rPr>
        <w:t xml:space="preserve"> For the purposes of this report, these requests are classified as </w:t>
      </w:r>
      <w:r w:rsidR="00AC2840">
        <w:rPr>
          <w:rFonts w:eastAsia="Helvetica" w:cs="Helvetica"/>
          <w:b/>
          <w:bCs/>
          <w:color w:val="000000" w:themeColor="text1"/>
        </w:rPr>
        <w:t xml:space="preserve">ineligible requests. </w:t>
      </w:r>
    </w:p>
    <w:p w14:paraId="2EAF594D" w14:textId="5471DF49" w:rsidR="004C39D3" w:rsidRPr="004C39D3" w:rsidRDefault="005A547D" w:rsidP="004C39D3">
      <w:pPr>
        <w:rPr>
          <w:rFonts w:eastAsia="Helvetica" w:cs="Helvetica"/>
          <w:color w:val="000000" w:themeColor="text1"/>
        </w:rPr>
      </w:pPr>
      <w:r>
        <w:rPr>
          <w:rFonts w:eastAsia="Helvetica" w:cs="Helvetica"/>
          <w:color w:val="000000" w:themeColor="text1"/>
        </w:rPr>
        <w:t>Between September 2021 and February 2022, the organisations that participated in this project reported receiving</w:t>
      </w:r>
      <w:r w:rsidR="00365525">
        <w:rPr>
          <w:rFonts w:eastAsia="Helvetica" w:cs="Helvetica"/>
          <w:color w:val="000000" w:themeColor="text1"/>
        </w:rPr>
        <w:t xml:space="preserve"> </w:t>
      </w:r>
      <w:r w:rsidR="006932EF">
        <w:rPr>
          <w:rFonts w:eastAsia="Helvetica" w:cs="Helvetica"/>
          <w:color w:val="000000" w:themeColor="text1"/>
        </w:rPr>
        <w:t>30,</w:t>
      </w:r>
      <w:r w:rsidR="00F77685">
        <w:rPr>
          <w:rFonts w:eastAsia="Helvetica" w:cs="Helvetica"/>
          <w:color w:val="000000" w:themeColor="text1"/>
        </w:rPr>
        <w:t>110 requests for advocacy</w:t>
      </w:r>
      <w:r>
        <w:rPr>
          <w:rFonts w:eastAsia="Helvetica" w:cs="Helvetica"/>
          <w:color w:val="000000" w:themeColor="text1"/>
        </w:rPr>
        <w:t>.</w:t>
      </w:r>
      <w:r w:rsidR="0062796B">
        <w:rPr>
          <w:rFonts w:eastAsia="Helvetica" w:cs="Helvetica"/>
          <w:color w:val="000000" w:themeColor="text1"/>
        </w:rPr>
        <w:t xml:space="preserve"> </w:t>
      </w:r>
      <w:r w:rsidR="006521E0" w:rsidRPr="00D11FFE">
        <w:rPr>
          <w:rFonts w:eastAsia="Helvetica" w:cs="Helvetica"/>
          <w:color w:val="000000" w:themeColor="text1"/>
        </w:rPr>
        <w:t>12,572</w:t>
      </w:r>
      <w:r w:rsidR="00F77685" w:rsidRPr="00D11FFE">
        <w:rPr>
          <w:rFonts w:eastAsia="Helvetica" w:cs="Helvetica"/>
          <w:color w:val="000000" w:themeColor="text1"/>
        </w:rPr>
        <w:t xml:space="preserve"> were classed as ineligible for advocacy assistance</w:t>
      </w:r>
      <w:r w:rsidR="006F22C7">
        <w:rPr>
          <w:rFonts w:eastAsia="Helvetica" w:cs="Helvetica"/>
          <w:color w:val="000000" w:themeColor="text1"/>
        </w:rPr>
        <w:t xml:space="preserve">, </w:t>
      </w:r>
      <w:r w:rsidR="00F77685" w:rsidRPr="00D11FFE">
        <w:rPr>
          <w:rFonts w:eastAsia="Helvetica" w:cs="Helvetica"/>
          <w:color w:val="000000" w:themeColor="text1"/>
        </w:rPr>
        <w:t xml:space="preserve">representing </w:t>
      </w:r>
      <w:r w:rsidR="00563ED6" w:rsidRPr="00D11FFE">
        <w:rPr>
          <w:rFonts w:eastAsia="Helvetica" w:cs="Helvetica"/>
          <w:color w:val="000000" w:themeColor="text1"/>
        </w:rPr>
        <w:t>42</w:t>
      </w:r>
      <w:r w:rsidR="00F77685" w:rsidRPr="00D11FFE">
        <w:rPr>
          <w:rFonts w:eastAsia="Helvetica" w:cs="Helvetica"/>
          <w:color w:val="000000" w:themeColor="text1"/>
        </w:rPr>
        <w:t>%</w:t>
      </w:r>
      <w:r w:rsidR="006664DE" w:rsidRPr="00D11FFE">
        <w:rPr>
          <w:rFonts w:eastAsia="Helvetica" w:cs="Helvetica"/>
          <w:color w:val="000000" w:themeColor="text1"/>
        </w:rPr>
        <w:t xml:space="preserve"> of enquiries</w:t>
      </w:r>
      <w:r w:rsidR="001731B2">
        <w:rPr>
          <w:rFonts w:eastAsia="Helvetica" w:cs="Helvetica"/>
          <w:color w:val="000000" w:themeColor="text1"/>
        </w:rPr>
        <w:t xml:space="preserve"> and</w:t>
      </w:r>
      <w:r w:rsidR="00FC6884">
        <w:rPr>
          <w:rFonts w:eastAsia="Helvetica" w:cs="Helvetica"/>
          <w:color w:val="000000" w:themeColor="text1"/>
        </w:rPr>
        <w:t xml:space="preserve"> 17,538 were</w:t>
      </w:r>
      <w:r w:rsidR="001731B2">
        <w:rPr>
          <w:rFonts w:eastAsia="Helvetica" w:cs="Helvetica"/>
          <w:color w:val="000000" w:themeColor="text1"/>
        </w:rPr>
        <w:t xml:space="preserve"> deemed</w:t>
      </w:r>
      <w:r w:rsidR="00FC6884">
        <w:rPr>
          <w:rFonts w:eastAsia="Helvetica" w:cs="Helvetica"/>
          <w:color w:val="000000" w:themeColor="text1"/>
        </w:rPr>
        <w:t xml:space="preserve"> eligible for advocacy, representing 5</w:t>
      </w:r>
      <w:r w:rsidR="00E60CB8">
        <w:rPr>
          <w:rFonts w:eastAsia="Helvetica" w:cs="Helvetica"/>
          <w:color w:val="000000" w:themeColor="text1"/>
        </w:rPr>
        <w:t>8</w:t>
      </w:r>
      <w:r w:rsidR="00FC6884">
        <w:rPr>
          <w:rFonts w:eastAsia="Helvetica" w:cs="Helvetica"/>
          <w:color w:val="000000" w:themeColor="text1"/>
        </w:rPr>
        <w:t xml:space="preserve">% of enquiries. </w:t>
      </w:r>
      <w:r w:rsidR="00C6339B">
        <w:rPr>
          <w:rFonts w:eastAsia="Helvetica" w:cs="Helvetica"/>
          <w:color w:val="000000" w:themeColor="text1"/>
        </w:rPr>
        <w:t xml:space="preserve">Of the 17,538 eligible requests for advocacy, </w:t>
      </w:r>
      <w:r w:rsidR="00B7073C">
        <w:rPr>
          <w:rFonts w:eastAsia="Helvetica" w:cs="Helvetica"/>
          <w:color w:val="000000" w:themeColor="text1"/>
        </w:rPr>
        <w:t>9,187 requests were provided advocacy, meaning</w:t>
      </w:r>
      <w:r w:rsidR="00AD6494">
        <w:rPr>
          <w:rFonts w:eastAsia="Helvetica" w:cs="Helvetica"/>
          <w:color w:val="000000" w:themeColor="text1"/>
        </w:rPr>
        <w:t xml:space="preserve"> on average,</w:t>
      </w:r>
      <w:r w:rsidR="00B7073C">
        <w:rPr>
          <w:rFonts w:eastAsia="Helvetica" w:cs="Helvetica"/>
          <w:color w:val="000000" w:themeColor="text1"/>
        </w:rPr>
        <w:t xml:space="preserve"> 52% of </w:t>
      </w:r>
      <w:r w:rsidR="00B03094">
        <w:rPr>
          <w:rFonts w:eastAsia="Helvetica" w:cs="Helvetica"/>
          <w:color w:val="000000" w:themeColor="text1"/>
        </w:rPr>
        <w:t>eligible requests receiv</w:t>
      </w:r>
      <w:r w:rsidR="00AD6494">
        <w:rPr>
          <w:rFonts w:eastAsia="Helvetica" w:cs="Helvetica"/>
          <w:color w:val="000000" w:themeColor="text1"/>
        </w:rPr>
        <w:t xml:space="preserve">ed support during this </w:t>
      </w:r>
      <w:r w:rsidR="006A0943">
        <w:rPr>
          <w:rFonts w:eastAsia="Helvetica" w:cs="Helvetica"/>
          <w:color w:val="000000" w:themeColor="text1"/>
        </w:rPr>
        <w:t>6-</w:t>
      </w:r>
      <w:r w:rsidR="00AD6494">
        <w:rPr>
          <w:rFonts w:eastAsia="Helvetica" w:cs="Helvetica"/>
          <w:color w:val="000000" w:themeColor="text1"/>
        </w:rPr>
        <w:t>month period.</w:t>
      </w:r>
      <w:r w:rsidR="00EE123E">
        <w:rPr>
          <w:rFonts w:eastAsia="Helvetica" w:cs="Helvetica"/>
          <w:color w:val="000000" w:themeColor="text1"/>
        </w:rPr>
        <w:t xml:space="preserve"> </w:t>
      </w:r>
      <w:r w:rsidR="00A055C3">
        <w:rPr>
          <w:rFonts w:eastAsia="Helvetica" w:cs="Helvetica"/>
          <w:color w:val="000000" w:themeColor="text1"/>
        </w:rPr>
        <w:t xml:space="preserve">It is noted that ineligible requests for advocacy </w:t>
      </w:r>
      <w:r w:rsidR="004D2578">
        <w:rPr>
          <w:rFonts w:eastAsia="Helvetica" w:cs="Helvetica"/>
          <w:color w:val="000000" w:themeColor="text1"/>
        </w:rPr>
        <w:t>require appropriate responses which utilise organisations time and resources.</w:t>
      </w:r>
      <w:r w:rsidR="005204AF">
        <w:rPr>
          <w:rFonts w:eastAsia="Helvetica" w:cs="Helvetica"/>
          <w:color w:val="000000" w:themeColor="text1"/>
        </w:rPr>
        <w:t xml:space="preserve"> </w:t>
      </w:r>
      <w:r w:rsidR="004C39D3">
        <w:rPr>
          <w:rFonts w:eastAsia="Helvetica" w:cs="Helvetica"/>
          <w:color w:val="000000" w:themeColor="text1"/>
        </w:rPr>
        <w:t xml:space="preserve">There are some </w:t>
      </w:r>
      <w:r w:rsidR="009F1885">
        <w:rPr>
          <w:rFonts w:eastAsia="Helvetica" w:cs="Helvetica"/>
          <w:color w:val="000000" w:themeColor="text1"/>
        </w:rPr>
        <w:t xml:space="preserve">limitations when </w:t>
      </w:r>
      <w:r w:rsidR="00F27995">
        <w:rPr>
          <w:rFonts w:eastAsia="Helvetica" w:cs="Helvetica"/>
          <w:color w:val="000000" w:themeColor="text1"/>
        </w:rPr>
        <w:t xml:space="preserve">analysing unmet demand as the data captured across the six months </w:t>
      </w:r>
      <w:r w:rsidR="00A305B9">
        <w:rPr>
          <w:rFonts w:eastAsia="Helvetica" w:cs="Helvetica"/>
          <w:color w:val="000000" w:themeColor="text1"/>
        </w:rPr>
        <w:t>includes bot</w:t>
      </w:r>
      <w:r w:rsidR="00B65726">
        <w:rPr>
          <w:rFonts w:eastAsia="Helvetica" w:cs="Helvetica"/>
          <w:color w:val="000000" w:themeColor="text1"/>
        </w:rPr>
        <w:t xml:space="preserve">h eligible requests turned away, and eligible requests </w:t>
      </w:r>
      <w:r w:rsidR="00501132">
        <w:rPr>
          <w:rFonts w:eastAsia="Helvetica" w:cs="Helvetica"/>
          <w:color w:val="000000" w:themeColor="text1"/>
        </w:rPr>
        <w:t xml:space="preserve">on a waiting list </w:t>
      </w:r>
      <w:r w:rsidR="00792438">
        <w:rPr>
          <w:rFonts w:eastAsia="Helvetica" w:cs="Helvetica"/>
          <w:color w:val="000000" w:themeColor="text1"/>
        </w:rPr>
        <w:t>at the end of the month. Tracking individual</w:t>
      </w:r>
      <w:r w:rsidR="007557DD">
        <w:rPr>
          <w:rFonts w:eastAsia="Helvetica" w:cs="Helvetica"/>
          <w:color w:val="000000" w:themeColor="text1"/>
        </w:rPr>
        <w:t xml:space="preserve"> people and waitlist turnover each month would provide a better picture of how waitlists are being managed</w:t>
      </w:r>
      <w:r w:rsidR="006C0A56">
        <w:rPr>
          <w:rFonts w:eastAsia="Helvetica" w:cs="Helvetica"/>
          <w:color w:val="000000" w:themeColor="text1"/>
        </w:rPr>
        <w:t>, including unmet demand trends</w:t>
      </w:r>
      <w:r w:rsidR="007557DD">
        <w:rPr>
          <w:rFonts w:eastAsia="Helvetica" w:cs="Helvetica"/>
          <w:color w:val="000000" w:themeColor="text1"/>
        </w:rPr>
        <w:t xml:space="preserve">, but </w:t>
      </w:r>
      <w:r w:rsidR="00E10407">
        <w:rPr>
          <w:rFonts w:eastAsia="Helvetica" w:cs="Helvetica"/>
          <w:color w:val="000000" w:themeColor="text1"/>
        </w:rPr>
        <w:t xml:space="preserve">this type of data collection and analysis </w:t>
      </w:r>
      <w:r w:rsidR="007557DD">
        <w:rPr>
          <w:rFonts w:eastAsia="Helvetica" w:cs="Helvetica"/>
          <w:color w:val="000000" w:themeColor="text1"/>
        </w:rPr>
        <w:t>would require considerable time</w:t>
      </w:r>
      <w:r w:rsidR="00516501">
        <w:rPr>
          <w:rFonts w:eastAsia="Helvetica" w:cs="Helvetica"/>
          <w:color w:val="000000" w:themeColor="text1"/>
        </w:rPr>
        <w:t xml:space="preserve"> and resources from organisations to track. </w:t>
      </w:r>
      <w:r w:rsidR="00B65726">
        <w:rPr>
          <w:rFonts w:eastAsia="Helvetica" w:cs="Helvetica"/>
          <w:color w:val="000000" w:themeColor="text1"/>
        </w:rPr>
        <w:t xml:space="preserve"> </w:t>
      </w:r>
    </w:p>
    <w:p w14:paraId="7A8E658D" w14:textId="3ED1BB16" w:rsidR="00953FB8" w:rsidRDefault="00AD6494" w:rsidP="00CD49F1">
      <w:pPr>
        <w:rPr>
          <w:rFonts w:eastAsia="Helvetica" w:cs="Helvetica"/>
          <w:color w:val="000000" w:themeColor="text1"/>
          <w:szCs w:val="22"/>
        </w:rPr>
      </w:pPr>
      <w:r>
        <w:rPr>
          <w:rFonts w:eastAsia="Helvetica" w:cs="Helvetica"/>
          <w:color w:val="000000" w:themeColor="text1"/>
          <w:szCs w:val="22"/>
        </w:rPr>
        <w:t xml:space="preserve">There were </w:t>
      </w:r>
      <w:r>
        <w:rPr>
          <w:rFonts w:eastAsia="Helvetica" w:cs="Helvetica"/>
          <w:b/>
          <w:bCs/>
          <w:color w:val="000000" w:themeColor="text1"/>
          <w:szCs w:val="22"/>
        </w:rPr>
        <w:t>f</w:t>
      </w:r>
      <w:r w:rsidR="00FA7097">
        <w:rPr>
          <w:rFonts w:eastAsia="Helvetica" w:cs="Helvetica"/>
          <w:b/>
          <w:bCs/>
          <w:color w:val="000000" w:themeColor="text1"/>
          <w:szCs w:val="22"/>
        </w:rPr>
        <w:t>ive</w:t>
      </w:r>
      <w:r w:rsidR="00736443" w:rsidRPr="005A2C32">
        <w:rPr>
          <w:rFonts w:eastAsia="Helvetica" w:cs="Helvetica"/>
          <w:b/>
          <w:bCs/>
          <w:color w:val="000000" w:themeColor="text1"/>
          <w:szCs w:val="22"/>
        </w:rPr>
        <w:t xml:space="preserve"> main findings</w:t>
      </w:r>
      <w:r w:rsidR="00736443" w:rsidRPr="00CD49F1">
        <w:rPr>
          <w:rFonts w:eastAsia="Helvetica" w:cs="Helvetica"/>
          <w:color w:val="000000" w:themeColor="text1"/>
          <w:szCs w:val="22"/>
        </w:rPr>
        <w:t xml:space="preserve"> </w:t>
      </w:r>
      <w:r>
        <w:rPr>
          <w:rFonts w:eastAsia="Helvetica" w:cs="Helvetica"/>
          <w:color w:val="000000" w:themeColor="text1"/>
          <w:szCs w:val="22"/>
        </w:rPr>
        <w:t xml:space="preserve">that </w:t>
      </w:r>
      <w:r w:rsidR="00364903">
        <w:rPr>
          <w:rFonts w:eastAsia="Helvetica" w:cs="Helvetica"/>
          <w:color w:val="000000" w:themeColor="text1"/>
          <w:szCs w:val="22"/>
        </w:rPr>
        <w:t xml:space="preserve">emerged </w:t>
      </w:r>
      <w:r w:rsidR="00736443" w:rsidRPr="00CD49F1">
        <w:rPr>
          <w:rFonts w:eastAsia="Helvetica" w:cs="Helvetica"/>
          <w:color w:val="000000" w:themeColor="text1"/>
          <w:szCs w:val="22"/>
        </w:rPr>
        <w:t xml:space="preserve">from </w:t>
      </w:r>
      <w:r w:rsidR="008E1E28">
        <w:rPr>
          <w:rFonts w:eastAsia="Helvetica" w:cs="Helvetica"/>
          <w:color w:val="000000" w:themeColor="text1"/>
          <w:szCs w:val="22"/>
        </w:rPr>
        <w:t xml:space="preserve">the quantitative and qualitative data over the </w:t>
      </w:r>
      <w:r w:rsidR="007B736D">
        <w:rPr>
          <w:rFonts w:eastAsia="Helvetica" w:cs="Helvetica"/>
          <w:color w:val="000000" w:themeColor="text1"/>
          <w:szCs w:val="22"/>
        </w:rPr>
        <w:t>6-</w:t>
      </w:r>
      <w:r w:rsidR="008E1E28">
        <w:rPr>
          <w:rFonts w:eastAsia="Helvetica" w:cs="Helvetica"/>
          <w:color w:val="000000" w:themeColor="text1"/>
          <w:szCs w:val="22"/>
        </w:rPr>
        <w:t>month period</w:t>
      </w:r>
      <w:r w:rsidR="00136141">
        <w:rPr>
          <w:rFonts w:eastAsia="Helvetica" w:cs="Helvetica"/>
          <w:color w:val="000000" w:themeColor="text1"/>
          <w:szCs w:val="22"/>
        </w:rPr>
        <w:t>:</w:t>
      </w:r>
    </w:p>
    <w:p w14:paraId="43DAC7B6" w14:textId="0803FBA5" w:rsidR="008E1E28" w:rsidRDefault="00886592" w:rsidP="00953FB8">
      <w:pPr>
        <w:pStyle w:val="ListParagraph"/>
        <w:numPr>
          <w:ilvl w:val="0"/>
          <w:numId w:val="16"/>
        </w:numPr>
        <w:spacing w:before="120" w:after="120"/>
        <w:ind w:left="357" w:hanging="357"/>
        <w:rPr>
          <w:rFonts w:cs="Helvetica"/>
          <w:szCs w:val="22"/>
        </w:rPr>
      </w:pPr>
      <w:bookmarkStart w:id="4" w:name="_Hlk132378519"/>
      <w:r>
        <w:rPr>
          <w:rFonts w:cs="Helvetica"/>
          <w:szCs w:val="22"/>
        </w:rPr>
        <w:t>A</w:t>
      </w:r>
      <w:r w:rsidR="008E1E28">
        <w:rPr>
          <w:rFonts w:cs="Helvetica"/>
          <w:szCs w:val="22"/>
        </w:rPr>
        <w:t xml:space="preserve">n </w:t>
      </w:r>
      <w:r w:rsidR="001413D8">
        <w:rPr>
          <w:rFonts w:cs="Helvetica"/>
          <w:b/>
          <w:bCs/>
          <w:szCs w:val="22"/>
        </w:rPr>
        <w:t>upward trend</w:t>
      </w:r>
      <w:r w:rsidR="008E1E28" w:rsidRPr="008E1E28">
        <w:rPr>
          <w:rFonts w:cs="Helvetica"/>
          <w:b/>
          <w:bCs/>
          <w:szCs w:val="22"/>
        </w:rPr>
        <w:t xml:space="preserve"> </w:t>
      </w:r>
      <w:r w:rsidR="001413D8">
        <w:rPr>
          <w:rFonts w:cs="Helvetica"/>
          <w:b/>
          <w:bCs/>
          <w:szCs w:val="22"/>
        </w:rPr>
        <w:t xml:space="preserve">in </w:t>
      </w:r>
      <w:r w:rsidR="008E1E28" w:rsidRPr="008E1E28">
        <w:rPr>
          <w:rFonts w:cs="Helvetica"/>
          <w:b/>
          <w:bCs/>
          <w:szCs w:val="22"/>
        </w:rPr>
        <w:t xml:space="preserve">demand </w:t>
      </w:r>
      <w:r w:rsidR="0094282D">
        <w:rPr>
          <w:rFonts w:cs="Helvetica"/>
          <w:b/>
          <w:bCs/>
          <w:szCs w:val="22"/>
        </w:rPr>
        <w:t xml:space="preserve">overall </w:t>
      </w:r>
      <w:r w:rsidR="008E1E28" w:rsidRPr="008E1E28">
        <w:rPr>
          <w:rFonts w:cs="Helvetica"/>
          <w:b/>
          <w:bCs/>
          <w:szCs w:val="22"/>
        </w:rPr>
        <w:t>for disability advocacy</w:t>
      </w:r>
      <w:r w:rsidR="008E1E28">
        <w:rPr>
          <w:rFonts w:cs="Helvetica"/>
          <w:szCs w:val="22"/>
        </w:rPr>
        <w:t xml:space="preserve"> </w:t>
      </w:r>
      <w:r w:rsidR="00327C38">
        <w:rPr>
          <w:rFonts w:cs="Helvetica"/>
          <w:szCs w:val="22"/>
        </w:rPr>
        <w:t>(</w:t>
      </w:r>
      <w:r w:rsidR="00136141">
        <w:rPr>
          <w:rFonts w:cs="Helvetica"/>
          <w:szCs w:val="22"/>
        </w:rPr>
        <w:t>Fig</w:t>
      </w:r>
      <w:r w:rsidR="008C5DD0">
        <w:rPr>
          <w:rFonts w:cs="Helvetica"/>
          <w:szCs w:val="22"/>
        </w:rPr>
        <w:t>ure</w:t>
      </w:r>
      <w:r w:rsidR="00327C38">
        <w:rPr>
          <w:rFonts w:cs="Helvetica"/>
          <w:szCs w:val="22"/>
        </w:rPr>
        <w:t xml:space="preserve"> </w:t>
      </w:r>
      <w:r w:rsidR="00B86AE0">
        <w:rPr>
          <w:rFonts w:cs="Helvetica"/>
          <w:szCs w:val="22"/>
        </w:rPr>
        <w:t>1</w:t>
      </w:r>
      <w:r w:rsidR="00136141">
        <w:rPr>
          <w:rFonts w:cs="Helvetica"/>
          <w:szCs w:val="22"/>
        </w:rPr>
        <w:t>)</w:t>
      </w:r>
      <w:r w:rsidR="00327C38">
        <w:rPr>
          <w:rFonts w:cs="Helvetica"/>
          <w:szCs w:val="22"/>
        </w:rPr>
        <w:t xml:space="preserve"> from </w:t>
      </w:r>
      <w:r w:rsidR="000E6E0B">
        <w:rPr>
          <w:rFonts w:cs="Helvetica"/>
          <w:szCs w:val="22"/>
        </w:rPr>
        <w:t>4,932</w:t>
      </w:r>
      <w:r w:rsidR="00327C38">
        <w:rPr>
          <w:rFonts w:cs="Helvetica"/>
          <w:szCs w:val="22"/>
        </w:rPr>
        <w:t xml:space="preserve"> requests in September 2021 to </w:t>
      </w:r>
      <w:r w:rsidR="000E6E0B">
        <w:rPr>
          <w:rFonts w:cs="Helvetica"/>
          <w:szCs w:val="22"/>
        </w:rPr>
        <w:t>5,796</w:t>
      </w:r>
      <w:r w:rsidR="004D2578">
        <w:rPr>
          <w:rFonts w:cs="Helvetica"/>
          <w:szCs w:val="22"/>
        </w:rPr>
        <w:t xml:space="preserve"> </w:t>
      </w:r>
      <w:r w:rsidR="00327C38">
        <w:rPr>
          <w:rFonts w:cs="Helvetica"/>
          <w:szCs w:val="22"/>
        </w:rPr>
        <w:t>requests in February 2022</w:t>
      </w:r>
      <w:r w:rsidR="00136141">
        <w:rPr>
          <w:rFonts w:cs="Helvetica"/>
          <w:szCs w:val="22"/>
        </w:rPr>
        <w:t>.</w:t>
      </w:r>
      <w:r w:rsidR="00327C38">
        <w:rPr>
          <w:rFonts w:cs="Helvetica"/>
          <w:szCs w:val="22"/>
        </w:rPr>
        <w:t xml:space="preserve"> </w:t>
      </w:r>
    </w:p>
    <w:p w14:paraId="5EA6615C" w14:textId="77777777" w:rsidR="009328AB" w:rsidRDefault="009328AB" w:rsidP="006E108D">
      <w:pPr>
        <w:pStyle w:val="ListParagraph"/>
        <w:spacing w:before="120" w:after="120"/>
        <w:ind w:left="357"/>
        <w:rPr>
          <w:rFonts w:cs="Helvetica"/>
          <w:szCs w:val="22"/>
        </w:rPr>
      </w:pPr>
    </w:p>
    <w:p w14:paraId="1B13E0FB" w14:textId="669D5E09" w:rsidR="006438FF" w:rsidRPr="006E108D" w:rsidRDefault="00D53B40" w:rsidP="006E108D">
      <w:pPr>
        <w:pStyle w:val="ListParagraph"/>
        <w:numPr>
          <w:ilvl w:val="0"/>
          <w:numId w:val="16"/>
        </w:numPr>
      </w:pPr>
      <w:r w:rsidRPr="00D53B40">
        <w:t>The existence of</w:t>
      </w:r>
      <w:r>
        <w:rPr>
          <w:b/>
          <w:bCs/>
        </w:rPr>
        <w:t xml:space="preserve"> u</w:t>
      </w:r>
      <w:r w:rsidR="00364903" w:rsidRPr="001413D8">
        <w:rPr>
          <w:b/>
          <w:bCs/>
        </w:rPr>
        <w:t>nmet demand</w:t>
      </w:r>
      <w:r w:rsidR="00997B90">
        <w:t xml:space="preserve"> in eligible requests</w:t>
      </w:r>
      <w:r w:rsidR="0020656A">
        <w:t xml:space="preserve"> (September 2021 – February 2022)</w:t>
      </w:r>
      <w:r w:rsidR="00364903" w:rsidRPr="001413D8">
        <w:t xml:space="preserve"> </w:t>
      </w:r>
      <w:r w:rsidR="00364903" w:rsidRPr="001413D8">
        <w:rPr>
          <w:rFonts w:eastAsia="Helvetica"/>
          <w:color w:val="000000" w:themeColor="text1"/>
        </w:rPr>
        <w:t xml:space="preserve">for disability advocacy assistance </w:t>
      </w:r>
      <w:r w:rsidR="00895CD0" w:rsidRPr="001413D8">
        <w:rPr>
          <w:b/>
          <w:bCs/>
        </w:rPr>
        <w:t>across all funding stream</w:t>
      </w:r>
      <w:r w:rsidR="00167571">
        <w:rPr>
          <w:b/>
          <w:bCs/>
        </w:rPr>
        <w:t>s</w:t>
      </w:r>
      <w:r w:rsidR="00B6563C" w:rsidRPr="001413D8">
        <w:t>.</w:t>
      </w:r>
      <w:r w:rsidR="00364903" w:rsidRPr="001413D8">
        <w:rPr>
          <w:b/>
          <w:bCs/>
        </w:rPr>
        <w:t xml:space="preserve"> </w:t>
      </w:r>
      <w:r w:rsidR="00327C38" w:rsidRPr="001413D8">
        <w:rPr>
          <w:rFonts w:eastAsia="Helvetica"/>
          <w:color w:val="000000" w:themeColor="text1"/>
        </w:rPr>
        <w:t xml:space="preserve">The reported data </w:t>
      </w:r>
      <w:r w:rsidR="00B6563C" w:rsidRPr="001413D8">
        <w:rPr>
          <w:rFonts w:eastAsia="Helvetica"/>
          <w:color w:val="000000" w:themeColor="text1"/>
        </w:rPr>
        <w:t>shows</w:t>
      </w:r>
      <w:r w:rsidR="00327C38" w:rsidRPr="001413D8">
        <w:rPr>
          <w:rFonts w:eastAsia="Helvetica"/>
          <w:color w:val="000000" w:themeColor="text1"/>
        </w:rPr>
        <w:t xml:space="preserve"> that while the </w:t>
      </w:r>
      <w:r w:rsidR="001413D8" w:rsidRPr="001413D8">
        <w:rPr>
          <w:rFonts w:eastAsia="Helvetica"/>
          <w:color w:val="000000" w:themeColor="text1"/>
        </w:rPr>
        <w:t xml:space="preserve">total </w:t>
      </w:r>
      <w:r w:rsidR="00327C38" w:rsidRPr="001413D8">
        <w:rPr>
          <w:rFonts w:eastAsia="Helvetica"/>
          <w:color w:val="000000" w:themeColor="text1"/>
        </w:rPr>
        <w:t>number of people requesting disability advocacy support over this period increased, the number</w:t>
      </w:r>
      <w:r>
        <w:rPr>
          <w:rFonts w:eastAsia="Helvetica"/>
          <w:color w:val="000000" w:themeColor="text1"/>
        </w:rPr>
        <w:t xml:space="preserve"> of people</w:t>
      </w:r>
      <w:r w:rsidR="00327C38" w:rsidRPr="001413D8">
        <w:rPr>
          <w:rFonts w:eastAsia="Helvetica"/>
          <w:color w:val="000000" w:themeColor="text1"/>
        </w:rPr>
        <w:t xml:space="preserve"> becoming disability advocacy clients decreased </w:t>
      </w:r>
      <w:r w:rsidR="004D07CF">
        <w:rPr>
          <w:rFonts w:eastAsia="Helvetica"/>
          <w:color w:val="000000" w:themeColor="text1"/>
        </w:rPr>
        <w:t>from 1,791 in September 2021 to 1,614 in Feb</w:t>
      </w:r>
      <w:r w:rsidR="00B0374F">
        <w:rPr>
          <w:rFonts w:eastAsia="Helvetica"/>
          <w:color w:val="000000" w:themeColor="text1"/>
        </w:rPr>
        <w:t>ruary 2022.</w:t>
      </w:r>
      <w:r w:rsidRPr="00D53B40">
        <w:t xml:space="preserve"> </w:t>
      </w:r>
      <w:bookmarkEnd w:id="4"/>
      <w:r w:rsidR="001413D8" w:rsidRPr="001413D8">
        <w:t>The data indicated that</w:t>
      </w:r>
      <w:r w:rsidR="001413D8" w:rsidRPr="001413D8">
        <w:rPr>
          <w:b/>
          <w:bCs/>
        </w:rPr>
        <w:t xml:space="preserve"> </w:t>
      </w:r>
      <w:r w:rsidR="001413D8" w:rsidRPr="00170674">
        <w:rPr>
          <w:b/>
          <w:bCs/>
        </w:rPr>
        <w:t xml:space="preserve">almost 50% of people with an eligible request </w:t>
      </w:r>
      <w:r w:rsidR="001413D8" w:rsidRPr="001413D8">
        <w:t xml:space="preserve">for advocacy </w:t>
      </w:r>
      <w:r w:rsidR="001413D8">
        <w:t>did</w:t>
      </w:r>
      <w:r w:rsidR="001413D8" w:rsidRPr="001413D8">
        <w:t xml:space="preserve"> not receiv</w:t>
      </w:r>
      <w:r w:rsidR="001413D8">
        <w:t>e</w:t>
      </w:r>
      <w:r w:rsidR="001413D8" w:rsidRPr="001413D8">
        <w:t xml:space="preserve"> support </w:t>
      </w:r>
      <w:r w:rsidR="001413D8" w:rsidRPr="008D7A86">
        <w:rPr>
          <w:b/>
          <w:bCs/>
        </w:rPr>
        <w:t>when they requested it</w:t>
      </w:r>
      <w:r w:rsidR="00997B90">
        <w:rPr>
          <w:b/>
          <w:bCs/>
        </w:rPr>
        <w:t>.</w:t>
      </w:r>
      <w:r w:rsidR="001413D8" w:rsidRPr="001413D8">
        <w:t xml:space="preserve"> </w:t>
      </w:r>
      <w:r w:rsidR="008D7A86">
        <w:rPr>
          <w:rFonts w:eastAsia="Helvetica"/>
          <w:color w:val="000000" w:themeColor="text1"/>
        </w:rPr>
        <w:t>It is noted that some</w:t>
      </w:r>
      <w:r w:rsidR="001C3B01">
        <w:rPr>
          <w:rFonts w:eastAsia="Helvetica"/>
          <w:color w:val="000000" w:themeColor="text1"/>
        </w:rPr>
        <w:t xml:space="preserve"> eligible requests for advocacy may</w:t>
      </w:r>
      <w:r w:rsidR="001413D8" w:rsidRPr="001413D8">
        <w:rPr>
          <w:rFonts w:eastAsia="Helvetica"/>
          <w:color w:val="000000" w:themeColor="text1"/>
        </w:rPr>
        <w:t xml:space="preserve"> </w:t>
      </w:r>
      <w:r w:rsidR="00524B2D">
        <w:rPr>
          <w:rFonts w:eastAsia="Helvetica"/>
          <w:color w:val="000000" w:themeColor="text1"/>
        </w:rPr>
        <w:t>be on more than one waitlist, increasing the</w:t>
      </w:r>
      <w:r w:rsidR="00317EA9">
        <w:rPr>
          <w:rFonts w:eastAsia="Helvetica"/>
          <w:color w:val="000000" w:themeColor="text1"/>
        </w:rPr>
        <w:t xml:space="preserve"> total number of unmet demand.</w:t>
      </w:r>
    </w:p>
    <w:p w14:paraId="141C6BC1" w14:textId="27B44E90" w:rsidR="004C092B" w:rsidRPr="006438FF" w:rsidRDefault="004C092B" w:rsidP="006E108D">
      <w:pPr>
        <w:pStyle w:val="ListParagraph"/>
        <w:spacing w:before="120" w:after="120"/>
        <w:ind w:left="357"/>
        <w:rPr>
          <w:rFonts w:cs="Helvetica"/>
          <w:szCs w:val="22"/>
        </w:rPr>
      </w:pPr>
    </w:p>
    <w:p w14:paraId="378DCB2B" w14:textId="05148AA0" w:rsidR="00B86AE0" w:rsidRDefault="00B86AE0" w:rsidP="00B86AE0">
      <w:pPr>
        <w:pStyle w:val="ListParagraph"/>
        <w:numPr>
          <w:ilvl w:val="0"/>
          <w:numId w:val="16"/>
        </w:numPr>
        <w:rPr>
          <w:rFonts w:eastAsia="Helvetica" w:cs="Helvetica"/>
          <w:color w:val="000000" w:themeColor="text1"/>
          <w:szCs w:val="22"/>
        </w:rPr>
      </w:pPr>
      <w:r w:rsidRPr="007B643D">
        <w:rPr>
          <w:rFonts w:eastAsia="Helvetica" w:cs="Helvetica"/>
          <w:color w:val="000000" w:themeColor="text1"/>
          <w:szCs w:val="22"/>
        </w:rPr>
        <w:t>The</w:t>
      </w:r>
      <w:r>
        <w:rPr>
          <w:rFonts w:eastAsia="Helvetica" w:cs="Helvetica"/>
          <w:b/>
          <w:bCs/>
          <w:color w:val="000000" w:themeColor="text1"/>
          <w:szCs w:val="22"/>
        </w:rPr>
        <w:t xml:space="preserve"> </w:t>
      </w:r>
      <w:r w:rsidRPr="005A2C32">
        <w:rPr>
          <w:rFonts w:eastAsia="Helvetica" w:cs="Helvetica"/>
          <w:b/>
          <w:bCs/>
          <w:color w:val="000000" w:themeColor="text1"/>
          <w:szCs w:val="22"/>
        </w:rPr>
        <w:t>NDIS Appeals</w:t>
      </w:r>
      <w:r w:rsidRPr="005A2C32">
        <w:rPr>
          <w:rFonts w:eastAsia="Helvetica" w:cs="Helvetica"/>
          <w:color w:val="000000" w:themeColor="text1"/>
          <w:szCs w:val="22"/>
        </w:rPr>
        <w:t xml:space="preserve"> </w:t>
      </w:r>
      <w:r w:rsidR="00D91E5A">
        <w:rPr>
          <w:rFonts w:eastAsia="Helvetica" w:cs="Helvetica"/>
          <w:b/>
          <w:bCs/>
          <w:color w:val="000000" w:themeColor="text1"/>
          <w:szCs w:val="22"/>
        </w:rPr>
        <w:t>Program</w:t>
      </w:r>
      <w:r w:rsidRPr="005A2C32">
        <w:rPr>
          <w:rFonts w:eastAsia="Helvetica" w:cs="Helvetica"/>
          <w:b/>
          <w:bCs/>
          <w:color w:val="000000" w:themeColor="text1"/>
          <w:szCs w:val="22"/>
        </w:rPr>
        <w:t xml:space="preserve"> </w:t>
      </w:r>
      <w:r>
        <w:rPr>
          <w:rFonts w:eastAsia="Helvetica" w:cs="Helvetica"/>
          <w:b/>
          <w:bCs/>
          <w:color w:val="000000" w:themeColor="text1"/>
          <w:szCs w:val="22"/>
        </w:rPr>
        <w:t xml:space="preserve">had the </w:t>
      </w:r>
      <w:r w:rsidRPr="005A2C32">
        <w:rPr>
          <w:rFonts w:eastAsia="Helvetica" w:cs="Helvetica"/>
          <w:b/>
          <w:bCs/>
          <w:color w:val="000000" w:themeColor="text1"/>
          <w:szCs w:val="22"/>
        </w:rPr>
        <w:t xml:space="preserve">highest </w:t>
      </w:r>
      <w:r>
        <w:rPr>
          <w:rFonts w:eastAsia="Helvetica" w:cs="Helvetica"/>
          <w:b/>
          <w:bCs/>
          <w:color w:val="000000" w:themeColor="text1"/>
          <w:szCs w:val="22"/>
        </w:rPr>
        <w:t>proportion</w:t>
      </w:r>
      <w:r w:rsidRPr="005A2C32">
        <w:rPr>
          <w:rFonts w:eastAsia="Helvetica" w:cs="Helvetica"/>
          <w:b/>
          <w:bCs/>
          <w:color w:val="000000" w:themeColor="text1"/>
          <w:szCs w:val="22"/>
        </w:rPr>
        <w:t xml:space="preserve"> of</w:t>
      </w:r>
      <w:r w:rsidRPr="005A2C32">
        <w:rPr>
          <w:rFonts w:eastAsia="Helvetica" w:cs="Helvetica"/>
          <w:color w:val="000000" w:themeColor="text1"/>
          <w:szCs w:val="22"/>
        </w:rPr>
        <w:t xml:space="preserve"> </w:t>
      </w:r>
      <w:r w:rsidRPr="005A2C32">
        <w:rPr>
          <w:rFonts w:eastAsia="Helvetica" w:cs="Helvetica"/>
          <w:b/>
          <w:bCs/>
          <w:color w:val="000000" w:themeColor="text1"/>
          <w:szCs w:val="22"/>
        </w:rPr>
        <w:t xml:space="preserve">unmet demand </w:t>
      </w:r>
      <w:r w:rsidR="00996189">
        <w:rPr>
          <w:rFonts w:eastAsia="Helvetica" w:cs="Helvetica"/>
          <w:color w:val="000000" w:themeColor="text1"/>
          <w:szCs w:val="22"/>
        </w:rPr>
        <w:t xml:space="preserve">in eligible requests (September 2021 </w:t>
      </w:r>
      <w:r w:rsidR="003D626E">
        <w:rPr>
          <w:rFonts w:eastAsia="Helvetica" w:cs="Helvetica"/>
          <w:color w:val="000000" w:themeColor="text1"/>
          <w:szCs w:val="22"/>
        </w:rPr>
        <w:t>–</w:t>
      </w:r>
      <w:r w:rsidR="00996189">
        <w:rPr>
          <w:rFonts w:eastAsia="Helvetica" w:cs="Helvetica"/>
          <w:color w:val="000000" w:themeColor="text1"/>
          <w:szCs w:val="22"/>
        </w:rPr>
        <w:t xml:space="preserve"> February 2022) </w:t>
      </w:r>
      <w:r w:rsidRPr="00886592">
        <w:rPr>
          <w:rFonts w:eastAsia="Helvetica" w:cs="Helvetica"/>
          <w:color w:val="000000" w:themeColor="text1"/>
          <w:szCs w:val="22"/>
        </w:rPr>
        <w:t>with 58%</w:t>
      </w:r>
      <w:r w:rsidRPr="005A2C32">
        <w:rPr>
          <w:rFonts w:eastAsia="Helvetica" w:cs="Helvetica"/>
          <w:color w:val="000000" w:themeColor="text1"/>
          <w:szCs w:val="22"/>
        </w:rPr>
        <w:t xml:space="preserve"> of eligible requests not able to be met </w:t>
      </w:r>
      <w:r>
        <w:rPr>
          <w:rFonts w:eastAsia="Helvetica" w:cs="Helvetica"/>
          <w:color w:val="000000" w:themeColor="text1"/>
          <w:szCs w:val="22"/>
        </w:rPr>
        <w:t>at the time of contact</w:t>
      </w:r>
      <w:r w:rsidR="00167571">
        <w:rPr>
          <w:rFonts w:eastAsia="Helvetica" w:cs="Helvetica"/>
          <w:color w:val="000000" w:themeColor="text1"/>
          <w:szCs w:val="22"/>
        </w:rPr>
        <w:t>.</w:t>
      </w:r>
    </w:p>
    <w:p w14:paraId="5BA0CB39" w14:textId="77777777" w:rsidR="00124E8B" w:rsidRDefault="00124E8B" w:rsidP="006E108D">
      <w:pPr>
        <w:pStyle w:val="ListParagraph"/>
        <w:ind w:left="360"/>
        <w:rPr>
          <w:rFonts w:eastAsia="Helvetica" w:cs="Helvetica"/>
          <w:color w:val="000000" w:themeColor="text1"/>
          <w:szCs w:val="22"/>
        </w:rPr>
      </w:pPr>
    </w:p>
    <w:p w14:paraId="7509ED80" w14:textId="53469C5A" w:rsidR="00124E8B" w:rsidRDefault="00C76FC9" w:rsidP="00124E8B">
      <w:pPr>
        <w:pStyle w:val="ListParagraph"/>
        <w:numPr>
          <w:ilvl w:val="0"/>
          <w:numId w:val="16"/>
        </w:numPr>
        <w:rPr>
          <w:rFonts w:eastAsia="Helvetica" w:cs="Helvetica"/>
          <w:color w:val="000000" w:themeColor="text1"/>
          <w:szCs w:val="22"/>
        </w:rPr>
      </w:pPr>
      <w:r>
        <w:rPr>
          <w:rFonts w:eastAsia="Helvetica" w:cs="Helvetica"/>
          <w:color w:val="000000" w:themeColor="text1"/>
          <w:szCs w:val="22"/>
        </w:rPr>
        <w:lastRenderedPageBreak/>
        <w:t xml:space="preserve">A </w:t>
      </w:r>
      <w:r w:rsidRPr="006E108D">
        <w:rPr>
          <w:rFonts w:eastAsia="Helvetica" w:cs="Helvetica"/>
          <w:b/>
          <w:bCs/>
          <w:color w:val="000000" w:themeColor="text1"/>
          <w:szCs w:val="22"/>
        </w:rPr>
        <w:t xml:space="preserve">sector that receives a significant </w:t>
      </w:r>
      <w:r w:rsidR="009406A2" w:rsidRPr="009406A2">
        <w:rPr>
          <w:rFonts w:eastAsia="Helvetica" w:cs="Helvetica"/>
          <w:b/>
          <w:bCs/>
          <w:color w:val="000000" w:themeColor="text1"/>
          <w:szCs w:val="22"/>
        </w:rPr>
        <w:t>number</w:t>
      </w:r>
      <w:r w:rsidRPr="006E108D">
        <w:rPr>
          <w:rFonts w:eastAsia="Helvetica" w:cs="Helvetica"/>
          <w:b/>
          <w:bCs/>
          <w:color w:val="000000" w:themeColor="text1"/>
          <w:szCs w:val="22"/>
        </w:rPr>
        <w:t xml:space="preserve"> of </w:t>
      </w:r>
      <w:r w:rsidR="00C77082" w:rsidRPr="006E108D">
        <w:rPr>
          <w:rFonts w:eastAsia="Helvetica" w:cs="Helvetica"/>
          <w:b/>
          <w:bCs/>
          <w:color w:val="000000" w:themeColor="text1"/>
          <w:szCs w:val="22"/>
        </w:rPr>
        <w:t>enquiries</w:t>
      </w:r>
      <w:r w:rsidR="007F4AEE">
        <w:rPr>
          <w:rFonts w:eastAsia="Helvetica" w:cs="Helvetica"/>
          <w:b/>
          <w:bCs/>
          <w:color w:val="000000" w:themeColor="text1"/>
          <w:szCs w:val="22"/>
        </w:rPr>
        <w:t xml:space="preserve"> </w:t>
      </w:r>
      <w:r w:rsidR="00274F9E">
        <w:rPr>
          <w:rFonts w:eastAsia="Helvetica" w:cs="Helvetica"/>
          <w:b/>
          <w:bCs/>
          <w:color w:val="000000" w:themeColor="text1"/>
          <w:szCs w:val="22"/>
        </w:rPr>
        <w:t>including ineligible requests</w:t>
      </w:r>
      <w:r w:rsidR="00873CC2">
        <w:rPr>
          <w:rFonts w:eastAsia="Helvetica" w:cs="Helvetica"/>
          <w:b/>
          <w:bCs/>
          <w:color w:val="000000" w:themeColor="text1"/>
          <w:szCs w:val="22"/>
        </w:rPr>
        <w:t>,</w:t>
      </w:r>
      <w:r w:rsidR="00274F9E">
        <w:rPr>
          <w:rFonts w:eastAsia="Helvetica" w:cs="Helvetica"/>
          <w:b/>
          <w:bCs/>
          <w:color w:val="000000" w:themeColor="text1"/>
          <w:szCs w:val="22"/>
        </w:rPr>
        <w:t xml:space="preserve"> </w:t>
      </w:r>
      <w:r w:rsidR="007F4AEE">
        <w:rPr>
          <w:rFonts w:eastAsia="Helvetica" w:cs="Helvetica"/>
          <w:color w:val="000000" w:themeColor="text1"/>
          <w:szCs w:val="22"/>
        </w:rPr>
        <w:t xml:space="preserve">which utilises a significant amount of resources. </w:t>
      </w:r>
      <w:r w:rsidR="0011070B">
        <w:rPr>
          <w:rFonts w:eastAsia="Helvetica" w:cs="Helvetica"/>
          <w:color w:val="000000" w:themeColor="text1"/>
          <w:szCs w:val="22"/>
        </w:rPr>
        <w:t xml:space="preserve">On average during September 2021 – February 2022, 42% of requests for advocacy were ineligible to receive assistance. </w:t>
      </w:r>
      <w:r w:rsidR="009406A2">
        <w:rPr>
          <w:rFonts w:eastAsia="Helvetica" w:cs="Helvetica"/>
          <w:color w:val="000000" w:themeColor="text1"/>
          <w:szCs w:val="22"/>
        </w:rPr>
        <w:t>It is important to note that every request for advocacy needs to be responded to</w:t>
      </w:r>
      <w:r w:rsidR="00DE7E1A">
        <w:rPr>
          <w:rFonts w:eastAsia="Helvetica" w:cs="Helvetica"/>
          <w:color w:val="000000" w:themeColor="text1"/>
          <w:szCs w:val="22"/>
        </w:rPr>
        <w:t xml:space="preserve"> and this takes a specialist skillset.</w:t>
      </w:r>
    </w:p>
    <w:p w14:paraId="4A6C7AAA" w14:textId="77777777" w:rsidR="0011070B" w:rsidRPr="006E108D" w:rsidRDefault="0011070B" w:rsidP="006E108D">
      <w:pPr>
        <w:spacing w:after="0"/>
        <w:rPr>
          <w:rFonts w:eastAsia="Helvetica" w:cs="Helvetica"/>
          <w:color w:val="000000" w:themeColor="text1"/>
          <w:szCs w:val="22"/>
        </w:rPr>
      </w:pPr>
    </w:p>
    <w:p w14:paraId="2724AC52" w14:textId="0261F271" w:rsidR="0015389E" w:rsidRDefault="00886592" w:rsidP="007B736D">
      <w:pPr>
        <w:pStyle w:val="ListParagraph"/>
        <w:numPr>
          <w:ilvl w:val="0"/>
          <w:numId w:val="16"/>
        </w:numPr>
      </w:pPr>
      <w:r>
        <w:rPr>
          <w:b/>
          <w:bCs/>
        </w:rPr>
        <w:t>An overwhelmed</w:t>
      </w:r>
      <w:r w:rsidR="00B50EE1" w:rsidRPr="00E2155B">
        <w:rPr>
          <w:b/>
          <w:bCs/>
        </w:rPr>
        <w:t xml:space="preserve"> </w:t>
      </w:r>
      <w:r w:rsidR="00402493" w:rsidRPr="00E2155B">
        <w:rPr>
          <w:b/>
          <w:bCs/>
        </w:rPr>
        <w:t xml:space="preserve">disability advocacy </w:t>
      </w:r>
      <w:r w:rsidR="00B50EE1" w:rsidRPr="00E2155B">
        <w:rPr>
          <w:b/>
          <w:bCs/>
        </w:rPr>
        <w:t xml:space="preserve">sector </w:t>
      </w:r>
      <w:r w:rsidR="00402493" w:rsidRPr="00E2155B">
        <w:t>with an ever</w:t>
      </w:r>
      <w:r w:rsidR="00B27189" w:rsidRPr="00E2155B">
        <w:t>-</w:t>
      </w:r>
      <w:r w:rsidR="00402493" w:rsidRPr="00E2155B">
        <w:t xml:space="preserve">increasing number of people seeking </w:t>
      </w:r>
      <w:r w:rsidR="00781987" w:rsidRPr="00E2155B">
        <w:t>support</w:t>
      </w:r>
      <w:r w:rsidR="00C95C97">
        <w:t xml:space="preserve"> and inadequate capacity to meet the demand</w:t>
      </w:r>
      <w:r w:rsidR="00B50EE1" w:rsidRPr="00E2155B">
        <w:t xml:space="preserve">. </w:t>
      </w:r>
      <w:r w:rsidR="00E2155B">
        <w:t>In particular</w:t>
      </w:r>
      <w:r w:rsidR="00CD0EEB">
        <w:t xml:space="preserve">, </w:t>
      </w:r>
      <w:r w:rsidR="00E2155B">
        <w:t xml:space="preserve">NDIS issues were reported to be complex, time consuming and frequently required support over an extended period. </w:t>
      </w:r>
      <w:r w:rsidR="00A31107">
        <w:t>Advocacy</w:t>
      </w:r>
      <w:r w:rsidR="00E2155B">
        <w:t xml:space="preserve"> organisations </w:t>
      </w:r>
      <w:r w:rsidR="00A31107">
        <w:t xml:space="preserve">reported </w:t>
      </w:r>
      <w:r w:rsidR="00C95C97">
        <w:t>us</w:t>
      </w:r>
      <w:r w:rsidR="00A31107">
        <w:t>ing</w:t>
      </w:r>
      <w:r w:rsidR="00E2155B">
        <w:t xml:space="preserve"> risk assessment in their intake processes </w:t>
      </w:r>
      <w:r w:rsidR="00A31107">
        <w:t>to</w:t>
      </w:r>
      <w:r w:rsidR="00E2155B">
        <w:t xml:space="preserve"> prioritise people in crisis, stretching limited resources to those most in need. </w:t>
      </w:r>
      <w:r w:rsidR="00A31107" w:rsidRPr="00E2155B">
        <w:t>All enquiries must be handled and require prioritisation, including those that do not become active cases which is at a significant cost in time and resources.</w:t>
      </w:r>
      <w:r w:rsidR="00A31107">
        <w:t xml:space="preserve"> </w:t>
      </w:r>
      <w:r w:rsidR="00E2155B">
        <w:t xml:space="preserve">There was limited capacity to actively engage with systemic issues </w:t>
      </w:r>
      <w:r w:rsidR="00A31107">
        <w:t xml:space="preserve">that </w:t>
      </w:r>
      <w:r w:rsidR="00E2155B">
        <w:t>contribut</w:t>
      </w:r>
      <w:r w:rsidR="00A31107">
        <w:t>e</w:t>
      </w:r>
      <w:r w:rsidR="00E2155B">
        <w:t xml:space="preserve"> to the </w:t>
      </w:r>
      <w:r w:rsidR="00A31107">
        <w:t xml:space="preserve">reasons for </w:t>
      </w:r>
      <w:r w:rsidR="00E2155B">
        <w:t xml:space="preserve">people with disability </w:t>
      </w:r>
      <w:r w:rsidR="00A31107">
        <w:t>seeking support from</w:t>
      </w:r>
      <w:r w:rsidR="00E2155B">
        <w:t xml:space="preserve"> advocacy </w:t>
      </w:r>
      <w:r w:rsidR="0006206D">
        <w:t>organisations</w:t>
      </w:r>
      <w:r w:rsidR="00E2155B">
        <w:t>.</w:t>
      </w:r>
      <w:r w:rsidR="00DB3FFC">
        <w:t xml:space="preserve"> </w:t>
      </w:r>
      <w:r w:rsidR="00A31107">
        <w:t>A</w:t>
      </w:r>
      <w:r w:rsidR="002C5B7F">
        <w:t>dditionally,</w:t>
      </w:r>
      <w:r w:rsidR="00A31107">
        <w:t xml:space="preserve"> providing outreach to marginalised communities was constrained due to limited capacity.</w:t>
      </w:r>
    </w:p>
    <w:p w14:paraId="37837BEC" w14:textId="6CABD167" w:rsidR="0062796B" w:rsidRDefault="0062796B" w:rsidP="006A0943">
      <w:pPr>
        <w:pStyle w:val="Caption"/>
        <w:spacing w:before="360"/>
        <w:ind w:left="284"/>
      </w:pPr>
      <w:bookmarkStart w:id="5" w:name="_Toc144384907"/>
      <w:bookmarkStart w:id="6" w:name="_Toc144384936"/>
      <w:bookmarkStart w:id="7" w:name="_Toc149667984"/>
      <w:r>
        <w:rPr>
          <w:noProof/>
          <w:lang w:eastAsia="en-AU"/>
        </w:rPr>
        <w:drawing>
          <wp:anchor distT="0" distB="0" distL="114300" distR="114300" simplePos="0" relativeHeight="251677696" behindDoc="0" locked="0" layoutInCell="1" allowOverlap="1" wp14:anchorId="7ADBEA73" wp14:editId="2E9A2079">
            <wp:simplePos x="0" y="0"/>
            <wp:positionH relativeFrom="margin">
              <wp:align>right</wp:align>
            </wp:positionH>
            <wp:positionV relativeFrom="paragraph">
              <wp:posOffset>671195</wp:posOffset>
            </wp:positionV>
            <wp:extent cx="5534660" cy="3138805"/>
            <wp:effectExtent l="0" t="0" r="8890" b="4445"/>
            <wp:wrapSquare wrapText="bothSides"/>
            <wp:docPr id="1216958238" name="Chart 1">
              <a:extLst xmlns:a="http://schemas.openxmlformats.org/drawingml/2006/main">
                <a:ext uri="{FF2B5EF4-FFF2-40B4-BE49-F238E27FC236}">
                  <a16:creationId xmlns:a16="http://schemas.microsoft.com/office/drawing/2014/main" id="{8405E00C-7342-9EE7-6713-B4F95FBE88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0B0900" w:rsidRPr="0015389E">
        <w:t xml:space="preserve">Figure </w:t>
      </w:r>
      <w:r w:rsidR="00FC3DB4">
        <w:fldChar w:fldCharType="begin"/>
      </w:r>
      <w:r w:rsidR="00FC3DB4">
        <w:instrText xml:space="preserve"> SEQ Figure \* ARABIC </w:instrText>
      </w:r>
      <w:r w:rsidR="00FC3DB4">
        <w:fldChar w:fldCharType="separate"/>
      </w:r>
      <w:r w:rsidR="00C8748D">
        <w:rPr>
          <w:noProof/>
        </w:rPr>
        <w:t>1</w:t>
      </w:r>
      <w:r w:rsidR="00FC3DB4">
        <w:rPr>
          <w:noProof/>
        </w:rPr>
        <w:fldChar w:fldCharType="end"/>
      </w:r>
      <w:r w:rsidR="000B0900" w:rsidRPr="0015389E">
        <w:t>:</w:t>
      </w:r>
      <w:r w:rsidR="000D51BA" w:rsidRPr="0015389E">
        <w:t xml:space="preserve"> </w:t>
      </w:r>
      <w:r w:rsidR="00361622" w:rsidRPr="0015389E">
        <w:t>Trends in demand across the country from survey respondents: September 2021 – February 2022</w:t>
      </w:r>
      <w:bookmarkEnd w:id="5"/>
      <w:bookmarkEnd w:id="6"/>
      <w:bookmarkEnd w:id="7"/>
      <w:r w:rsidR="00361622" w:rsidRPr="0015389E">
        <w:t xml:space="preserve"> </w:t>
      </w:r>
    </w:p>
    <w:p w14:paraId="4581A118" w14:textId="77777777" w:rsidR="006A0943" w:rsidRDefault="006A0943" w:rsidP="00401595">
      <w:pPr>
        <w:pStyle w:val="Heading4"/>
      </w:pPr>
    </w:p>
    <w:p w14:paraId="6FD482F2" w14:textId="7A8117F9" w:rsidR="00401595" w:rsidRPr="00E3687A" w:rsidRDefault="00181B27" w:rsidP="006A0943">
      <w:pPr>
        <w:pStyle w:val="Heading4"/>
        <w:spacing w:before="0"/>
      </w:pPr>
      <w:r w:rsidRPr="00E3687A">
        <w:t>Discussion</w:t>
      </w:r>
    </w:p>
    <w:p w14:paraId="695E4FD9" w14:textId="5661B56E" w:rsidR="005642DF" w:rsidRDefault="00E2155B" w:rsidP="00CD0EEB">
      <w:r w:rsidRPr="009D1F10">
        <w:t xml:space="preserve">The </w:t>
      </w:r>
      <w:r w:rsidR="00A31107">
        <w:t>Intake P</w:t>
      </w:r>
      <w:r w:rsidRPr="009D1F10">
        <w:t>roject data for the 6</w:t>
      </w:r>
      <w:r w:rsidR="008025A9">
        <w:t>-</w:t>
      </w:r>
      <w:r w:rsidRPr="009D1F10">
        <w:t>month period (September 2021 – February 2022) confirm</w:t>
      </w:r>
      <w:r w:rsidR="002C5B7F">
        <w:t>s</w:t>
      </w:r>
      <w:r w:rsidRPr="009D1F10">
        <w:t xml:space="preserve"> anecdotal </w:t>
      </w:r>
      <w:r w:rsidR="00C95C97">
        <w:t>reports</w:t>
      </w:r>
      <w:r w:rsidRPr="009D1F10">
        <w:t xml:space="preserve"> of increased demand for disability advocacy and demonstrate</w:t>
      </w:r>
      <w:r w:rsidR="002C5B7F">
        <w:t>s</w:t>
      </w:r>
      <w:r w:rsidRPr="009D1F10">
        <w:t xml:space="preserve"> significant unmet demand for support. </w:t>
      </w:r>
      <w:r w:rsidR="00E229DF">
        <w:t xml:space="preserve">Qualitative data complemented the quantitative data and provided </w:t>
      </w:r>
      <w:r w:rsidR="003B3E32">
        <w:t xml:space="preserve">contextual </w:t>
      </w:r>
      <w:r w:rsidR="007F0A04">
        <w:t>information</w:t>
      </w:r>
      <w:r w:rsidR="00E229DF">
        <w:t xml:space="preserve"> </w:t>
      </w:r>
      <w:r w:rsidR="007F0A04">
        <w:t>about</w:t>
      </w:r>
      <w:r w:rsidR="00E229DF">
        <w:t xml:space="preserve"> </w:t>
      </w:r>
      <w:r w:rsidR="007F0A04">
        <w:t xml:space="preserve">organisational processes, </w:t>
      </w:r>
      <w:r w:rsidR="00E229DF">
        <w:t>the factors contributing to unmet demand</w:t>
      </w:r>
      <w:r w:rsidR="003A5052">
        <w:t>,</w:t>
      </w:r>
      <w:r w:rsidR="007F0A04">
        <w:t xml:space="preserve"> and </w:t>
      </w:r>
      <w:r w:rsidR="00E229DF">
        <w:t xml:space="preserve">the pressures and challenges faced by the sector. </w:t>
      </w:r>
    </w:p>
    <w:p w14:paraId="521A590C" w14:textId="61D58DF6" w:rsidR="006B09D7" w:rsidRPr="00037275" w:rsidRDefault="006B09D7" w:rsidP="006B09D7">
      <w:r w:rsidRPr="003D1EE7">
        <w:lastRenderedPageBreak/>
        <w:t xml:space="preserve">Of the 39 responding organisations, </w:t>
      </w:r>
      <w:r>
        <w:t>33</w:t>
      </w:r>
      <w:r w:rsidRPr="003D1EE7">
        <w:rPr>
          <w:rFonts w:cs="Helvetica"/>
        </w:rPr>
        <w:t xml:space="preserve"> provided full data sets for the 6-month period</w:t>
      </w:r>
      <w:r>
        <w:rPr>
          <w:rFonts w:cs="Helvetica"/>
        </w:rPr>
        <w:t xml:space="preserve"> and t</w:t>
      </w:r>
      <w:r w:rsidRPr="003D1EE7">
        <w:rPr>
          <w:rFonts w:cs="Helvetica"/>
        </w:rPr>
        <w:t xml:space="preserve">here was missing data </w:t>
      </w:r>
      <w:r>
        <w:rPr>
          <w:rFonts w:cs="Helvetica"/>
        </w:rPr>
        <w:t xml:space="preserve">from six </w:t>
      </w:r>
      <w:r w:rsidRPr="003D1EE7">
        <w:rPr>
          <w:rFonts w:cs="Helvetica"/>
        </w:rPr>
        <w:t xml:space="preserve">organisations for </w:t>
      </w:r>
      <w:r>
        <w:rPr>
          <w:rFonts w:cs="Helvetica"/>
        </w:rPr>
        <w:t xml:space="preserve">one month for </w:t>
      </w:r>
      <w:r w:rsidRPr="003D1EE7">
        <w:rPr>
          <w:rFonts w:cs="Helvetica"/>
        </w:rPr>
        <w:t>Question 4</w:t>
      </w:r>
      <w:r>
        <w:rPr>
          <w:rFonts w:cs="Helvetica"/>
        </w:rPr>
        <w:t>.</w:t>
      </w:r>
      <w:r w:rsidRPr="007759D1">
        <w:rPr>
          <w:rStyle w:val="FootnoteReference"/>
          <w:szCs w:val="22"/>
        </w:rPr>
        <w:footnoteReference w:id="3"/>
      </w:r>
      <w:r w:rsidR="0062796B">
        <w:rPr>
          <w:rStyle w:val="FootnoteReference"/>
        </w:rPr>
        <w:t xml:space="preserve"> </w:t>
      </w:r>
      <w:r w:rsidRPr="007759D1">
        <w:t xml:space="preserve">The available data for these </w:t>
      </w:r>
      <w:r>
        <w:t xml:space="preserve">six </w:t>
      </w:r>
      <w:r w:rsidRPr="007759D1">
        <w:t>respondents was averaged across the full 6</w:t>
      </w:r>
      <w:r>
        <w:t>-</w:t>
      </w:r>
      <w:r w:rsidRPr="007759D1">
        <w:t>month period and applied to the missing months to avoid underreporting</w:t>
      </w:r>
      <w:r>
        <w:t>.</w:t>
      </w:r>
    </w:p>
    <w:p w14:paraId="57D70803" w14:textId="0C2CB1E6" w:rsidR="006B09D7" w:rsidRPr="00037275" w:rsidRDefault="006B09D7" w:rsidP="006B09D7">
      <w:r w:rsidRPr="007759D1">
        <w:rPr>
          <w:rFonts w:cs="Helvetica"/>
        </w:rPr>
        <w:t>Wait list data was provided for the last day of the month and would not reflect fluctuations over the month</w:t>
      </w:r>
      <w:r>
        <w:rPr>
          <w:rFonts w:cs="Helvetica"/>
        </w:rPr>
        <w:t xml:space="preserve">; however, the data </w:t>
      </w:r>
      <w:r w:rsidRPr="007759D1">
        <w:rPr>
          <w:rFonts w:cs="Helvetica"/>
        </w:rPr>
        <w:t xml:space="preserve">is unreliable because of the disparity in how organisations </w:t>
      </w:r>
      <w:r w:rsidR="001B2D5B">
        <w:rPr>
          <w:rFonts w:cs="Helvetica"/>
        </w:rPr>
        <w:t>manage</w:t>
      </w:r>
      <w:r w:rsidRPr="007759D1">
        <w:rPr>
          <w:rFonts w:cs="Helvetica"/>
        </w:rPr>
        <w:t xml:space="preserve"> wait lists</w:t>
      </w:r>
      <w:r w:rsidR="002C0DE9">
        <w:rPr>
          <w:rFonts w:cs="Helvetica"/>
        </w:rPr>
        <w:t xml:space="preserve"> and the differences in intake and </w:t>
      </w:r>
      <w:r w:rsidR="001B3625">
        <w:rPr>
          <w:rFonts w:cs="Helvetica"/>
        </w:rPr>
        <w:t>prioritisation</w:t>
      </w:r>
      <w:r w:rsidR="002C0DE9">
        <w:rPr>
          <w:rFonts w:cs="Helvetica"/>
        </w:rPr>
        <w:t xml:space="preserve"> processes</w:t>
      </w:r>
      <w:r w:rsidRPr="007759D1">
        <w:rPr>
          <w:rFonts w:cs="Helvetica"/>
        </w:rPr>
        <w:t>.</w:t>
      </w:r>
      <w:r>
        <w:rPr>
          <w:rFonts w:cs="Helvetica"/>
        </w:rPr>
        <w:t xml:space="preserve"> S</w:t>
      </w:r>
      <w:r w:rsidRPr="007759D1">
        <w:rPr>
          <w:rFonts w:cs="Helvetica"/>
        </w:rPr>
        <w:t xml:space="preserve">ome do not keep wait lists, they may be kept for varying lengths of time and people </w:t>
      </w:r>
      <w:r>
        <w:rPr>
          <w:rFonts w:cs="Helvetica"/>
        </w:rPr>
        <w:t xml:space="preserve">with disability </w:t>
      </w:r>
      <w:r w:rsidRPr="007759D1">
        <w:rPr>
          <w:rFonts w:cs="Helvetica"/>
        </w:rPr>
        <w:t xml:space="preserve">may be on multiple wait lists. </w:t>
      </w:r>
      <w:r>
        <w:rPr>
          <w:rFonts w:cs="Helvetica"/>
        </w:rPr>
        <w:t>In sum</w:t>
      </w:r>
      <w:r w:rsidR="004037E0">
        <w:rPr>
          <w:rFonts w:cs="Helvetica"/>
        </w:rPr>
        <w:t>mary</w:t>
      </w:r>
      <w:r>
        <w:rPr>
          <w:rFonts w:cs="Helvetica"/>
        </w:rPr>
        <w:t>, the reported wait list data</w:t>
      </w:r>
      <w:r w:rsidRPr="007759D1">
        <w:rPr>
          <w:rFonts w:cs="Helvetica"/>
        </w:rPr>
        <w:t xml:space="preserve"> </w:t>
      </w:r>
      <w:r>
        <w:rPr>
          <w:rFonts w:cs="Helvetica"/>
        </w:rPr>
        <w:t>possibly</w:t>
      </w:r>
      <w:r w:rsidRPr="007759D1">
        <w:rPr>
          <w:rFonts w:cs="Helvetica"/>
        </w:rPr>
        <w:t xml:space="preserve"> underrepresent</w:t>
      </w:r>
      <w:r>
        <w:rPr>
          <w:rFonts w:cs="Helvetica"/>
        </w:rPr>
        <w:t>s</w:t>
      </w:r>
      <w:r w:rsidRPr="007759D1">
        <w:rPr>
          <w:rFonts w:cs="Helvetica"/>
        </w:rPr>
        <w:t xml:space="preserve"> the total unmet demand comprised by wait lists. </w:t>
      </w:r>
    </w:p>
    <w:p w14:paraId="2DFDA196" w14:textId="6C34FD03" w:rsidR="006B09D7" w:rsidRPr="009D1F10" w:rsidRDefault="006B09D7" w:rsidP="00CD0EEB">
      <w:r w:rsidRPr="004E35D1">
        <w:t>Despite these limitations, 77% of the raw data was complete. The high rate of participation and broadly complete data set lend confidence in the capture and processing steps.</w:t>
      </w:r>
    </w:p>
    <w:p w14:paraId="1AF106FB" w14:textId="6210682B" w:rsidR="006B09D7" w:rsidRDefault="003A5052" w:rsidP="00CD0EEB">
      <w:r>
        <w:t>D</w:t>
      </w:r>
      <w:r w:rsidR="007F0A04" w:rsidRPr="004772B0">
        <w:t xml:space="preserve">ata collection and reporting systems in some </w:t>
      </w:r>
      <w:r w:rsidR="00547A9F" w:rsidRPr="004772B0">
        <w:t xml:space="preserve">organisations </w:t>
      </w:r>
      <w:r>
        <w:t>do not adequately</w:t>
      </w:r>
      <w:r w:rsidR="00547A9F" w:rsidRPr="004772B0">
        <w:t xml:space="preserve"> capture the </w:t>
      </w:r>
      <w:r w:rsidR="007F0A04" w:rsidRPr="004772B0">
        <w:t xml:space="preserve">full </w:t>
      </w:r>
      <w:r w:rsidR="00547A9F" w:rsidRPr="004772B0">
        <w:t xml:space="preserve">extent of </w:t>
      </w:r>
      <w:r w:rsidR="001161A4">
        <w:t>advocacy-related</w:t>
      </w:r>
      <w:r w:rsidR="007F0A04" w:rsidRPr="004772B0">
        <w:t xml:space="preserve"> </w:t>
      </w:r>
      <w:r w:rsidR="00547A9F" w:rsidRPr="004772B0">
        <w:t xml:space="preserve">activity undertaken </w:t>
      </w:r>
      <w:r w:rsidR="003B3E32" w:rsidRPr="004772B0">
        <w:t>to support people seeking advocacy support</w:t>
      </w:r>
      <w:r>
        <w:t>. For example,</w:t>
      </w:r>
      <w:r w:rsidR="00191DAD">
        <w:t xml:space="preserve"> </w:t>
      </w:r>
      <w:r w:rsidR="00547A9F" w:rsidRPr="004772B0">
        <w:t xml:space="preserve">DEX does not allow recording of all </w:t>
      </w:r>
      <w:r w:rsidR="003B3E32" w:rsidRPr="004772B0">
        <w:t xml:space="preserve">staff </w:t>
      </w:r>
      <w:r w:rsidR="00547A9F" w:rsidRPr="004772B0">
        <w:t>activity</w:t>
      </w:r>
      <w:r w:rsidR="00E229DF" w:rsidRPr="004772B0">
        <w:t xml:space="preserve"> </w:t>
      </w:r>
      <w:r w:rsidR="00DB3FFC" w:rsidRPr="004772B0">
        <w:t xml:space="preserve">involved in </w:t>
      </w:r>
      <w:r w:rsidR="007F0A04" w:rsidRPr="004772B0">
        <w:t xml:space="preserve">responding to </w:t>
      </w:r>
      <w:r w:rsidR="00DB3FFC" w:rsidRPr="004772B0">
        <w:t xml:space="preserve">requests for </w:t>
      </w:r>
      <w:r w:rsidR="007F0A04" w:rsidRPr="004772B0">
        <w:t>advocacy support</w:t>
      </w:r>
      <w:r w:rsidR="007B643D">
        <w:t>.</w:t>
      </w:r>
      <w:r w:rsidR="00283985">
        <w:rPr>
          <w:rStyle w:val="FootnoteReference"/>
          <w:rFonts w:cs="Helvetica"/>
          <w:szCs w:val="22"/>
        </w:rPr>
        <w:footnoteReference w:id="4"/>
      </w:r>
      <w:r w:rsidR="00283985">
        <w:t xml:space="preserve"> </w:t>
      </w:r>
      <w:r w:rsidR="004772B0" w:rsidRPr="004772B0">
        <w:t xml:space="preserve">The </w:t>
      </w:r>
      <w:r w:rsidR="004772B0" w:rsidRPr="00CD60E0">
        <w:rPr>
          <w:i/>
          <w:iCs/>
        </w:rPr>
        <w:t>Intake Reference Guide</w:t>
      </w:r>
      <w:r w:rsidR="004772B0" w:rsidRPr="004772B0">
        <w:t xml:space="preserve"> will be a valuable resource for the sector</w:t>
      </w:r>
      <w:r w:rsidR="004772B0">
        <w:t xml:space="preserve"> to enhance organisational systems in meeting demand</w:t>
      </w:r>
      <w:r w:rsidR="004772B0" w:rsidRPr="004772B0">
        <w:t xml:space="preserve">. </w:t>
      </w:r>
    </w:p>
    <w:p w14:paraId="04285753" w14:textId="2A7921C6" w:rsidR="008E1C34" w:rsidRPr="008E1C34" w:rsidRDefault="00E229DF" w:rsidP="00CD0EEB">
      <w:r>
        <w:t xml:space="preserve">Due to constrained organisational capacity, </w:t>
      </w:r>
      <w:r w:rsidR="00547A9F">
        <w:t xml:space="preserve">only approximately half of all eligible clients </w:t>
      </w:r>
      <w:r>
        <w:t>were</w:t>
      </w:r>
      <w:r w:rsidR="00547A9F">
        <w:t xml:space="preserve"> able to receive advocacy support</w:t>
      </w:r>
      <w:r>
        <w:t xml:space="preserve">. The NDIS Appeals </w:t>
      </w:r>
      <w:r w:rsidR="00D91E5A">
        <w:t xml:space="preserve">Program </w:t>
      </w:r>
      <w:r>
        <w:t>was found to be experiencing the greatest stress a</w:t>
      </w:r>
      <w:r w:rsidR="00CF4EAF">
        <w:t>s resolving NDIS issues</w:t>
      </w:r>
      <w:r>
        <w:t xml:space="preserve"> involve</w:t>
      </w:r>
      <w:r w:rsidR="00CF4EAF">
        <w:t>s</w:t>
      </w:r>
      <w:r>
        <w:t xml:space="preserve"> considerable </w:t>
      </w:r>
      <w:r w:rsidR="008E53FD">
        <w:t>complexity and</w:t>
      </w:r>
      <w:r>
        <w:t xml:space="preserve"> </w:t>
      </w:r>
      <w:r w:rsidR="008E1C34">
        <w:t>require</w:t>
      </w:r>
      <w:r w:rsidR="001D714E">
        <w:t>s</w:t>
      </w:r>
      <w:r w:rsidR="008E1C34">
        <w:t xml:space="preserve"> </w:t>
      </w:r>
      <w:r>
        <w:t>ex</w:t>
      </w:r>
      <w:r w:rsidR="001D714E">
        <w:t>tensive</w:t>
      </w:r>
      <w:r>
        <w:t xml:space="preserve"> time and resources</w:t>
      </w:r>
      <w:r w:rsidR="00F4429A">
        <w:t xml:space="preserve"> </w:t>
      </w:r>
      <w:r w:rsidR="008E1C34">
        <w:t>in</w:t>
      </w:r>
      <w:r w:rsidR="00F4429A">
        <w:t xml:space="preserve"> </w:t>
      </w:r>
      <w:r w:rsidR="00A51D7A">
        <w:t xml:space="preserve">the </w:t>
      </w:r>
      <w:r w:rsidR="00F4429A">
        <w:t>provision of support</w:t>
      </w:r>
      <w:r>
        <w:t xml:space="preserve">. </w:t>
      </w:r>
      <w:r w:rsidR="0018271F">
        <w:t xml:space="preserve">Clients at high risk were being prioritised </w:t>
      </w:r>
      <w:r w:rsidR="00283985">
        <w:t xml:space="preserve">with </w:t>
      </w:r>
      <w:r w:rsidR="0018271F">
        <w:t xml:space="preserve">many organisations </w:t>
      </w:r>
      <w:r w:rsidR="00283985">
        <w:t xml:space="preserve">forced to act </w:t>
      </w:r>
      <w:r w:rsidR="008E1C34">
        <w:t>in a reactive, crisis</w:t>
      </w:r>
      <w:r w:rsidR="00BB4171">
        <w:t>-</w:t>
      </w:r>
      <w:r w:rsidR="008E1C34">
        <w:t xml:space="preserve">driven mode. Many people with disability were unable to </w:t>
      </w:r>
      <w:r w:rsidR="008E1C34" w:rsidRPr="008E1C34">
        <w:t>access support in a timely manner which could also</w:t>
      </w:r>
      <w:r w:rsidR="00A869BD">
        <w:t xml:space="preserve"> </w:t>
      </w:r>
      <w:r w:rsidR="008E1C34" w:rsidRPr="008E1C34">
        <w:t xml:space="preserve">result </w:t>
      </w:r>
      <w:r w:rsidR="00AD3C2E">
        <w:t>in</w:t>
      </w:r>
      <w:r w:rsidR="00D50612">
        <w:t xml:space="preserve"> </w:t>
      </w:r>
      <w:r w:rsidR="008E1C34" w:rsidRPr="008E1C34">
        <w:t xml:space="preserve">more people </w:t>
      </w:r>
      <w:r w:rsidR="00AD3C2E">
        <w:t>finding themselves in</w:t>
      </w:r>
      <w:r w:rsidR="008E1C34" w:rsidRPr="008E1C34">
        <w:t xml:space="preserve"> crisis situations</w:t>
      </w:r>
      <w:r w:rsidR="008E1C34">
        <w:t xml:space="preserve"> rather than resolving issues early</w:t>
      </w:r>
      <w:r w:rsidR="008E1C34" w:rsidRPr="008E1C34">
        <w:t xml:space="preserve">.  </w:t>
      </w:r>
    </w:p>
    <w:p w14:paraId="207779A8" w14:textId="49F0A3A2" w:rsidR="008F1B61" w:rsidRDefault="00E229DF" w:rsidP="008E1E28">
      <w:pPr>
        <w:rPr>
          <w:szCs w:val="22"/>
        </w:rPr>
      </w:pPr>
      <w:r>
        <w:t xml:space="preserve">Staff </w:t>
      </w:r>
      <w:r w:rsidR="004772B0">
        <w:t xml:space="preserve">in advocacy </w:t>
      </w:r>
      <w:r w:rsidR="00C543C0">
        <w:t>organisations</w:t>
      </w:r>
      <w:r>
        <w:t xml:space="preserve"> reported</w:t>
      </w:r>
      <w:r w:rsidR="00C80A0E">
        <w:t xml:space="preserve"> they were</w:t>
      </w:r>
      <w:r>
        <w:t xml:space="preserve"> stretched </w:t>
      </w:r>
      <w:r w:rsidR="00F4429A">
        <w:t xml:space="preserve">and stressed; </w:t>
      </w:r>
      <w:r w:rsidR="0018271F">
        <w:t xml:space="preserve">greatly exacerbated by </w:t>
      </w:r>
      <w:r w:rsidR="00F4429A">
        <w:t xml:space="preserve">the </w:t>
      </w:r>
      <w:r w:rsidR="00BB4171">
        <w:t>COVID-19</w:t>
      </w:r>
      <w:r w:rsidR="00F4429A">
        <w:t xml:space="preserve"> pandemic period </w:t>
      </w:r>
      <w:r w:rsidR="0018271F">
        <w:t xml:space="preserve">which created </w:t>
      </w:r>
      <w:r w:rsidR="00F4429A">
        <w:t xml:space="preserve">additional </w:t>
      </w:r>
      <w:r w:rsidR="00D50612">
        <w:t>difficulties</w:t>
      </w:r>
      <w:r w:rsidR="00F4429A">
        <w:t xml:space="preserve"> for </w:t>
      </w:r>
      <w:r w:rsidR="008E1C34">
        <w:t>people with disability</w:t>
      </w:r>
      <w:r w:rsidR="0018271F">
        <w:t xml:space="preserve"> and </w:t>
      </w:r>
      <w:r w:rsidR="008E1C34">
        <w:t xml:space="preserve">challenges in </w:t>
      </w:r>
      <w:r w:rsidR="0018271F">
        <w:t xml:space="preserve">provision of </w:t>
      </w:r>
      <w:r w:rsidR="00D50612">
        <w:t xml:space="preserve">advocacy </w:t>
      </w:r>
      <w:r w:rsidR="0018271F">
        <w:t>support</w:t>
      </w:r>
      <w:r w:rsidR="00F4429A">
        <w:t>.</w:t>
      </w:r>
      <w:r>
        <w:t xml:space="preserve"> </w:t>
      </w:r>
      <w:r w:rsidR="005642DF">
        <w:t xml:space="preserve">Although advocates appreciate the importance of addressing </w:t>
      </w:r>
      <w:r w:rsidR="00F4429A">
        <w:t xml:space="preserve">problematic </w:t>
      </w:r>
      <w:r w:rsidR="005642DF">
        <w:t>systemic issues</w:t>
      </w:r>
      <w:r w:rsidR="00F4429A">
        <w:t xml:space="preserve"> </w:t>
      </w:r>
      <w:r w:rsidR="005642DF">
        <w:t xml:space="preserve">there </w:t>
      </w:r>
      <w:r w:rsidR="00D50612">
        <w:t>was</w:t>
      </w:r>
      <w:r w:rsidR="005642DF">
        <w:t xml:space="preserve"> scarce time and very limited funding to engage in systemic advocacy to address </w:t>
      </w:r>
      <w:r w:rsidR="00D50612">
        <w:t>identified</w:t>
      </w:r>
      <w:r w:rsidR="005642DF">
        <w:t xml:space="preserve"> barriers for people with disability.</w:t>
      </w:r>
      <w:r w:rsidR="008E1C34">
        <w:t xml:space="preserve"> </w:t>
      </w:r>
    </w:p>
    <w:p w14:paraId="2282F49B" w14:textId="77777777" w:rsidR="008E1C34" w:rsidRPr="00E3687A" w:rsidRDefault="008E1C34" w:rsidP="008E1C34">
      <w:pPr>
        <w:pStyle w:val="Heading4"/>
      </w:pPr>
      <w:r w:rsidRPr="00E3687A">
        <w:t>Conclusion</w:t>
      </w:r>
    </w:p>
    <w:p w14:paraId="11A4B5E8" w14:textId="77777777" w:rsidR="007B736D" w:rsidRDefault="00BB4171" w:rsidP="00DB3FFC">
      <w:pPr>
        <w:rPr>
          <w:rFonts w:cs="Helvetica"/>
          <w:szCs w:val="22"/>
        </w:rPr>
      </w:pPr>
      <w:r>
        <w:rPr>
          <w:szCs w:val="22"/>
        </w:rPr>
        <w:t>T</w:t>
      </w:r>
      <w:r w:rsidR="00DB3FFC" w:rsidRPr="00F4429A">
        <w:rPr>
          <w:szCs w:val="22"/>
        </w:rPr>
        <w:t xml:space="preserve">he Intake Project provided valuable </w:t>
      </w:r>
      <w:r w:rsidR="00D50612">
        <w:rPr>
          <w:szCs w:val="22"/>
        </w:rPr>
        <w:t xml:space="preserve">national </w:t>
      </w:r>
      <w:r w:rsidR="00DB3FFC" w:rsidRPr="00F4429A">
        <w:rPr>
          <w:szCs w:val="22"/>
        </w:rPr>
        <w:t xml:space="preserve">baseline data </w:t>
      </w:r>
      <w:r w:rsidR="008E1C34">
        <w:rPr>
          <w:szCs w:val="22"/>
        </w:rPr>
        <w:t xml:space="preserve">and a snapshot </w:t>
      </w:r>
      <w:r w:rsidR="004772B0">
        <w:rPr>
          <w:szCs w:val="22"/>
        </w:rPr>
        <w:t xml:space="preserve">at a particular point </w:t>
      </w:r>
      <w:r w:rsidR="008E1C34">
        <w:rPr>
          <w:szCs w:val="22"/>
        </w:rPr>
        <w:t xml:space="preserve">in time of the </w:t>
      </w:r>
      <w:r w:rsidR="00D50612">
        <w:rPr>
          <w:szCs w:val="22"/>
        </w:rPr>
        <w:t>increasing levels</w:t>
      </w:r>
      <w:r w:rsidR="008E1C34">
        <w:rPr>
          <w:szCs w:val="22"/>
        </w:rPr>
        <w:t xml:space="preserve"> </w:t>
      </w:r>
      <w:r>
        <w:rPr>
          <w:szCs w:val="22"/>
        </w:rPr>
        <w:t xml:space="preserve">of </w:t>
      </w:r>
      <w:r w:rsidR="008E1C34">
        <w:rPr>
          <w:szCs w:val="22"/>
        </w:rPr>
        <w:t xml:space="preserve">disability advocacy demand and </w:t>
      </w:r>
      <w:r w:rsidR="00D50612">
        <w:rPr>
          <w:szCs w:val="22"/>
        </w:rPr>
        <w:t xml:space="preserve">constrained </w:t>
      </w:r>
      <w:r w:rsidR="008E1C34">
        <w:rPr>
          <w:szCs w:val="22"/>
        </w:rPr>
        <w:t xml:space="preserve">service supply capacity. </w:t>
      </w:r>
      <w:r w:rsidR="00AD26C7">
        <w:rPr>
          <w:szCs w:val="22"/>
        </w:rPr>
        <w:t>Although t</w:t>
      </w:r>
      <w:r w:rsidR="008E1C34" w:rsidRPr="009D1F10">
        <w:rPr>
          <w:rFonts w:cs="Helvetica"/>
          <w:szCs w:val="22"/>
        </w:rPr>
        <w:t>he participating organisations only represent approximately 50% of the sector</w:t>
      </w:r>
      <w:r w:rsidR="00AD26C7">
        <w:rPr>
          <w:rFonts w:cs="Helvetica"/>
          <w:szCs w:val="22"/>
        </w:rPr>
        <w:t xml:space="preserve">, they </w:t>
      </w:r>
      <w:r w:rsidR="00284A1E">
        <w:rPr>
          <w:rFonts w:cs="Helvetica"/>
          <w:szCs w:val="22"/>
        </w:rPr>
        <w:t xml:space="preserve">did represent every jurisdiction in Australia. </w:t>
      </w:r>
    </w:p>
    <w:p w14:paraId="14EE983B" w14:textId="00D54AD6" w:rsidR="004772B0" w:rsidRDefault="00284A1E" w:rsidP="00DB3FFC">
      <w:pPr>
        <w:rPr>
          <w:szCs w:val="22"/>
        </w:rPr>
      </w:pPr>
      <w:r>
        <w:rPr>
          <w:rFonts w:cs="Helvetica"/>
          <w:szCs w:val="22"/>
        </w:rPr>
        <w:lastRenderedPageBreak/>
        <w:t>G</w:t>
      </w:r>
      <w:r w:rsidR="008E1C34">
        <w:rPr>
          <w:rFonts w:cs="Helvetica"/>
          <w:szCs w:val="22"/>
        </w:rPr>
        <w:t xml:space="preserve">iven the representativeness of the participating organisations, </w:t>
      </w:r>
      <w:r w:rsidR="008E1C34" w:rsidRPr="009D1F10">
        <w:rPr>
          <w:rFonts w:cs="Helvetica"/>
          <w:szCs w:val="22"/>
        </w:rPr>
        <w:t xml:space="preserve">the findings are </w:t>
      </w:r>
      <w:r w:rsidR="008E1C34" w:rsidRPr="009D1F10">
        <w:rPr>
          <w:szCs w:val="22"/>
        </w:rPr>
        <w:t xml:space="preserve">broadly illustrative of the impact of </w:t>
      </w:r>
      <w:r w:rsidR="008E1C34">
        <w:rPr>
          <w:szCs w:val="22"/>
        </w:rPr>
        <w:t xml:space="preserve">resource and </w:t>
      </w:r>
      <w:r w:rsidR="008E1C34" w:rsidRPr="009D1F10">
        <w:rPr>
          <w:szCs w:val="22"/>
        </w:rPr>
        <w:t xml:space="preserve">capacity </w:t>
      </w:r>
      <w:r w:rsidR="008E1C34">
        <w:rPr>
          <w:szCs w:val="22"/>
        </w:rPr>
        <w:t>constraints</w:t>
      </w:r>
      <w:r w:rsidR="008E1C34" w:rsidRPr="009D1F10">
        <w:rPr>
          <w:szCs w:val="22"/>
        </w:rPr>
        <w:t xml:space="preserve"> </w:t>
      </w:r>
      <w:r w:rsidR="00D50612">
        <w:rPr>
          <w:szCs w:val="22"/>
        </w:rPr>
        <w:t>and the concerning levels of unmet demand</w:t>
      </w:r>
      <w:r w:rsidR="008E1C34">
        <w:rPr>
          <w:szCs w:val="22"/>
        </w:rPr>
        <w:t xml:space="preserve">. </w:t>
      </w:r>
      <w:r w:rsidR="00D50612" w:rsidRPr="004772B0">
        <w:rPr>
          <w:szCs w:val="22"/>
        </w:rPr>
        <w:t>P</w:t>
      </w:r>
      <w:r w:rsidR="008E1C34" w:rsidRPr="004772B0">
        <w:rPr>
          <w:szCs w:val="22"/>
        </w:rPr>
        <w:t xml:space="preserve">eople with disability </w:t>
      </w:r>
      <w:r w:rsidR="00D50612" w:rsidRPr="004772B0">
        <w:rPr>
          <w:szCs w:val="22"/>
        </w:rPr>
        <w:t xml:space="preserve">were unable to access the advocacy support needed </w:t>
      </w:r>
      <w:r w:rsidR="008E1C34" w:rsidRPr="004772B0">
        <w:rPr>
          <w:szCs w:val="22"/>
        </w:rPr>
        <w:t>to uphold their rights</w:t>
      </w:r>
      <w:r w:rsidR="004772B0">
        <w:rPr>
          <w:szCs w:val="22"/>
        </w:rPr>
        <w:t xml:space="preserve"> and live a </w:t>
      </w:r>
      <w:r w:rsidR="00283985">
        <w:rPr>
          <w:szCs w:val="22"/>
        </w:rPr>
        <w:t>good</w:t>
      </w:r>
      <w:r w:rsidR="004772B0">
        <w:rPr>
          <w:szCs w:val="22"/>
        </w:rPr>
        <w:t xml:space="preserve"> life</w:t>
      </w:r>
      <w:r w:rsidR="008E1C34" w:rsidRPr="004772B0">
        <w:rPr>
          <w:szCs w:val="22"/>
        </w:rPr>
        <w:t xml:space="preserve">. </w:t>
      </w:r>
    </w:p>
    <w:p w14:paraId="2052D292" w14:textId="27C7906C" w:rsidR="008F6372" w:rsidRDefault="004772B0" w:rsidP="00DB3FFC">
      <w:pPr>
        <w:rPr>
          <w:szCs w:val="22"/>
        </w:rPr>
      </w:pPr>
      <w:r>
        <w:rPr>
          <w:szCs w:val="22"/>
        </w:rPr>
        <w:t xml:space="preserve">The findings </w:t>
      </w:r>
      <w:r w:rsidR="00D50612" w:rsidRPr="00F4429A">
        <w:rPr>
          <w:szCs w:val="22"/>
        </w:rPr>
        <w:t>clearly demonstrate</w:t>
      </w:r>
      <w:r w:rsidR="008E53FD">
        <w:rPr>
          <w:szCs w:val="22"/>
        </w:rPr>
        <w:t xml:space="preserve"> </w:t>
      </w:r>
      <w:r w:rsidR="00D50612" w:rsidRPr="00F4429A">
        <w:rPr>
          <w:szCs w:val="22"/>
        </w:rPr>
        <w:t>the need for enhanced resourcing for disability advocacy</w:t>
      </w:r>
      <w:r>
        <w:rPr>
          <w:szCs w:val="22"/>
        </w:rPr>
        <w:t xml:space="preserve"> and some areas for targeted support </w:t>
      </w:r>
      <w:r w:rsidR="00284A1E">
        <w:rPr>
          <w:szCs w:val="22"/>
        </w:rPr>
        <w:t>such as</w:t>
      </w:r>
      <w:r>
        <w:rPr>
          <w:szCs w:val="22"/>
        </w:rPr>
        <w:t xml:space="preserve"> develop</w:t>
      </w:r>
      <w:r w:rsidR="00284A1E">
        <w:rPr>
          <w:szCs w:val="22"/>
        </w:rPr>
        <w:t>ing</w:t>
      </w:r>
      <w:r>
        <w:rPr>
          <w:szCs w:val="22"/>
        </w:rPr>
        <w:t xml:space="preserve"> tailored outreach to access marginalised communities</w:t>
      </w:r>
      <w:r w:rsidR="00D50612" w:rsidRPr="00F4429A">
        <w:rPr>
          <w:szCs w:val="22"/>
        </w:rPr>
        <w:t xml:space="preserve">. </w:t>
      </w:r>
      <w:r w:rsidR="00DB3FFC" w:rsidRPr="00F4429A">
        <w:rPr>
          <w:szCs w:val="22"/>
        </w:rPr>
        <w:t>It also highlighted areas that will benefit from further investigation and points to the need for</w:t>
      </w:r>
      <w:r w:rsidR="00DB3FFC">
        <w:t xml:space="preserve"> </w:t>
      </w:r>
      <w:r w:rsidR="00DB3FFC" w:rsidRPr="00F4429A">
        <w:rPr>
          <w:szCs w:val="22"/>
        </w:rPr>
        <w:t>ongoing monitoring to inform</w:t>
      </w:r>
      <w:r w:rsidR="00DB3FFC" w:rsidRPr="005642DF">
        <w:t xml:space="preserve"> </w:t>
      </w:r>
      <w:r w:rsidR="00DB3FFC" w:rsidRPr="00F4429A">
        <w:rPr>
          <w:szCs w:val="22"/>
        </w:rPr>
        <w:t>sector resourcing and capacity building to ensure adequate access to disability advocacy for people with disability nationally.</w:t>
      </w:r>
      <w:r w:rsidR="00DB3FFC">
        <w:rPr>
          <w:szCs w:val="22"/>
        </w:rPr>
        <w:t xml:space="preserve"> </w:t>
      </w:r>
    </w:p>
    <w:p w14:paraId="2464FB4A" w14:textId="4E83AB91" w:rsidR="00327147" w:rsidRDefault="00F93BE1" w:rsidP="00CD0EEB">
      <w:r>
        <w:t xml:space="preserve">During </w:t>
      </w:r>
      <w:r w:rsidR="00DC55F0">
        <w:t xml:space="preserve">the </w:t>
      </w:r>
      <w:r w:rsidR="00CB1C73">
        <w:t>project</w:t>
      </w:r>
      <w:r w:rsidR="007B736D">
        <w:t>,</w:t>
      </w:r>
      <w:r w:rsidR="00CB1C73">
        <w:t xml:space="preserve"> participating </w:t>
      </w:r>
      <w:r w:rsidR="007C7BF4">
        <w:t>organisations</w:t>
      </w:r>
      <w:r w:rsidR="00CB1C73">
        <w:t xml:space="preserve"> </w:t>
      </w:r>
      <w:r w:rsidR="007C7BF4">
        <w:t>reported</w:t>
      </w:r>
      <w:r w:rsidR="00CB1C73">
        <w:t xml:space="preserve"> an increase </w:t>
      </w:r>
      <w:r w:rsidR="00727494">
        <w:t xml:space="preserve">in demand and </w:t>
      </w:r>
      <w:r w:rsidR="007C7BF4">
        <w:t>complexity</w:t>
      </w:r>
      <w:r w:rsidR="00727494">
        <w:t xml:space="preserve"> </w:t>
      </w:r>
      <w:r w:rsidR="007C7BF4">
        <w:t xml:space="preserve">of advocacy issues since the introduction of the </w:t>
      </w:r>
      <w:r w:rsidR="007A107B">
        <w:t>NDIS</w:t>
      </w:r>
      <w:r w:rsidR="00605D97">
        <w:t xml:space="preserve">. This is </w:t>
      </w:r>
      <w:r w:rsidR="00126F2A">
        <w:t xml:space="preserve">partly </w:t>
      </w:r>
      <w:r w:rsidR="00605D97">
        <w:t>due t</w:t>
      </w:r>
      <w:r w:rsidR="00126F2A">
        <w:t xml:space="preserve">o </w:t>
      </w:r>
      <w:r w:rsidR="00BE29B0">
        <w:t>the aboli</w:t>
      </w:r>
      <w:r w:rsidR="00283985">
        <w:t>tion</w:t>
      </w:r>
      <w:r w:rsidR="00BE29B0">
        <w:t xml:space="preserve"> of </w:t>
      </w:r>
      <w:r w:rsidR="00DD5F13">
        <w:t>case management</w:t>
      </w:r>
      <w:r w:rsidR="00617302">
        <w:t xml:space="preserve"> services</w:t>
      </w:r>
      <w:r w:rsidR="005551E6">
        <w:t>,</w:t>
      </w:r>
      <w:r w:rsidR="00F206E4">
        <w:t xml:space="preserve"> </w:t>
      </w:r>
      <w:r w:rsidR="00DE2A2E">
        <w:t>which could p</w:t>
      </w:r>
      <w:r w:rsidR="00340C1E">
        <w:t>rovide</w:t>
      </w:r>
      <w:r w:rsidR="00DE2A2E">
        <w:t xml:space="preserve"> </w:t>
      </w:r>
      <w:r w:rsidR="009D365D">
        <w:t>wrap</w:t>
      </w:r>
      <w:r w:rsidR="00283985">
        <w:t>-</w:t>
      </w:r>
      <w:r w:rsidR="00DE2A2E">
        <w:t>around</w:t>
      </w:r>
      <w:r w:rsidR="009D365D">
        <w:t xml:space="preserve"> service</w:t>
      </w:r>
      <w:r w:rsidR="00283985">
        <w:t>s</w:t>
      </w:r>
      <w:r w:rsidR="00E15538">
        <w:t xml:space="preserve"> to people with disability</w:t>
      </w:r>
      <w:r w:rsidR="0002385A">
        <w:t xml:space="preserve">. </w:t>
      </w:r>
      <w:r w:rsidR="003573BE">
        <w:t>Dealing</w:t>
      </w:r>
      <w:r w:rsidR="00C20612">
        <w:t xml:space="preserve"> with increased </w:t>
      </w:r>
      <w:r w:rsidR="00AF4786">
        <w:t xml:space="preserve">bureaucratic processes in the NDIS and Centrelink </w:t>
      </w:r>
      <w:r w:rsidR="00CC00B6">
        <w:t xml:space="preserve">has added to the complexity of issues. </w:t>
      </w:r>
      <w:r w:rsidR="00605D97">
        <w:t xml:space="preserve"> </w:t>
      </w:r>
    </w:p>
    <w:p w14:paraId="51090DF7" w14:textId="36FED012" w:rsidR="00966A54" w:rsidRDefault="00327147" w:rsidP="00CD0EEB">
      <w:r>
        <w:t>The National Disability Advocacy Framework 2023</w:t>
      </w:r>
      <w:r w:rsidR="001668A4">
        <w:t xml:space="preserve"> </w:t>
      </w:r>
      <w:r w:rsidR="00AC7B88">
        <w:t>–</w:t>
      </w:r>
      <w:r w:rsidR="001668A4">
        <w:t xml:space="preserve"> 20</w:t>
      </w:r>
      <w:r>
        <w:t>25</w:t>
      </w:r>
      <w:r w:rsidR="00AC7B88">
        <w:t xml:space="preserve"> (the Framework)</w:t>
      </w:r>
      <w:r>
        <w:t xml:space="preserve"> </w:t>
      </w:r>
      <w:r w:rsidRPr="00AC7B88">
        <w:rPr>
          <w:rFonts w:cs="Helvetica"/>
        </w:rPr>
        <w:t>identifies that t</w:t>
      </w:r>
      <w:r w:rsidRPr="00AC7B88">
        <w:rPr>
          <w:rFonts w:cs="Helvetica"/>
          <w:shd w:val="clear" w:color="auto" w:fill="FFFFFF"/>
        </w:rPr>
        <w:t>here is currently no mechanism to identify unmet demand for disability advocacy services.</w:t>
      </w:r>
      <w:r>
        <w:rPr>
          <w:rFonts w:ascii="Alexandria Light" w:hAnsi="Alexandria Light" w:cs="Alexandria Light"/>
          <w:shd w:val="clear" w:color="auto" w:fill="FFFFFF"/>
        </w:rPr>
        <w:t xml:space="preserve"> </w:t>
      </w:r>
      <w:r w:rsidRPr="00AC7B88">
        <w:rPr>
          <w:rFonts w:cs="Helvetica"/>
          <w:shd w:val="clear" w:color="auto" w:fill="FFFFFF"/>
        </w:rPr>
        <w:t xml:space="preserve">The Framework </w:t>
      </w:r>
      <w:r w:rsidR="00283985" w:rsidRPr="00AC7B88">
        <w:rPr>
          <w:rFonts w:cs="Helvetica"/>
          <w:shd w:val="clear" w:color="auto" w:fill="FFFFFF"/>
        </w:rPr>
        <w:t>is</w:t>
      </w:r>
      <w:r w:rsidRPr="00AC7B88">
        <w:rPr>
          <w:rFonts w:cs="Helvetica"/>
          <w:shd w:val="clear" w:color="auto" w:fill="FFFFFF"/>
        </w:rPr>
        <w:t xml:space="preserve"> a </w:t>
      </w:r>
      <w:r w:rsidRPr="00AC7B88">
        <w:rPr>
          <w:rFonts w:cs="Helvetica"/>
        </w:rPr>
        <w:t xml:space="preserve">shared commitment from the Australian and </w:t>
      </w:r>
      <w:r w:rsidR="001E71C0">
        <w:rPr>
          <w:rFonts w:cs="Helvetica"/>
        </w:rPr>
        <w:t>s</w:t>
      </w:r>
      <w:r w:rsidRPr="00AC7B88">
        <w:rPr>
          <w:rFonts w:cs="Helvetica"/>
        </w:rPr>
        <w:t>tate/</w:t>
      </w:r>
      <w:r w:rsidR="001E71C0">
        <w:rPr>
          <w:rFonts w:cs="Helvetica"/>
        </w:rPr>
        <w:t xml:space="preserve"> t</w:t>
      </w:r>
      <w:r w:rsidRPr="00AC7B88">
        <w:rPr>
          <w:rFonts w:cs="Helvetica"/>
        </w:rPr>
        <w:t>erritories Disability</w:t>
      </w:r>
      <w:r>
        <w:t xml:space="preserve"> Ministers to work towards developing consistent definitions to collect consistent data across the disability advocacy sector.</w:t>
      </w:r>
      <w:r w:rsidR="007E69E2" w:rsidRPr="007E69E2">
        <w:t xml:space="preserve"> </w:t>
      </w:r>
    </w:p>
    <w:p w14:paraId="63698C87" w14:textId="77777777" w:rsidR="00BE0C9C" w:rsidRDefault="00F60844" w:rsidP="00CD0EEB">
      <w:r>
        <w:t xml:space="preserve">The National Centre for Disability </w:t>
      </w:r>
      <w:r w:rsidR="00516B78">
        <w:t xml:space="preserve">Advocacy </w:t>
      </w:r>
      <w:r w:rsidR="00573019">
        <w:t xml:space="preserve">(NCDA) </w:t>
      </w:r>
      <w:r w:rsidR="00516B78">
        <w:t xml:space="preserve">has been funded by </w:t>
      </w:r>
      <w:r w:rsidR="00283985">
        <w:t>t</w:t>
      </w:r>
      <w:r w:rsidR="007E69E2">
        <w:t>he Aust</w:t>
      </w:r>
      <w:r w:rsidR="00367B83">
        <w:t>ralian</w:t>
      </w:r>
      <w:r w:rsidR="007E69E2">
        <w:t xml:space="preserve"> Government</w:t>
      </w:r>
      <w:r w:rsidR="00283985">
        <w:t xml:space="preserve"> (t</w:t>
      </w:r>
      <w:r w:rsidR="007E69E2">
        <w:t>hrough</w:t>
      </w:r>
      <w:r w:rsidR="00283985">
        <w:t xml:space="preserve"> DSS)</w:t>
      </w:r>
      <w:r w:rsidR="007E69E2">
        <w:t xml:space="preserve"> to build capacity in the sector and address unmet </w:t>
      </w:r>
      <w:r w:rsidR="00573019">
        <w:t>demand and unmet need</w:t>
      </w:r>
      <w:r w:rsidR="007E69E2">
        <w:t>.</w:t>
      </w:r>
      <w:r w:rsidR="00926A4C">
        <w:t xml:space="preserve"> A </w:t>
      </w:r>
      <w:r w:rsidR="00573019">
        <w:t xml:space="preserve">key function </w:t>
      </w:r>
      <w:r w:rsidR="00926A4C">
        <w:t xml:space="preserve">of the NCDA is to </w:t>
      </w:r>
      <w:r w:rsidR="00573019">
        <w:t>take</w:t>
      </w:r>
      <w:r w:rsidR="00926A4C">
        <w:t xml:space="preserve"> a </w:t>
      </w:r>
      <w:r w:rsidR="00966A54">
        <w:t>consistent approach</w:t>
      </w:r>
      <w:r w:rsidR="00573019">
        <w:t xml:space="preserve"> to</w:t>
      </w:r>
      <w:r w:rsidR="005E6936">
        <w:t xml:space="preserve"> </w:t>
      </w:r>
      <w:r w:rsidR="00304CE3">
        <w:t>managing intake and referrals across the sector</w:t>
      </w:r>
      <w:r w:rsidR="00F407F4">
        <w:t xml:space="preserve"> and to</w:t>
      </w:r>
      <w:r w:rsidR="00183C01">
        <w:t xml:space="preserve"> bu</w:t>
      </w:r>
      <w:r w:rsidR="00573019">
        <w:t>i</w:t>
      </w:r>
      <w:r w:rsidR="00183C01">
        <w:t xml:space="preserve">ld on </w:t>
      </w:r>
      <w:r w:rsidR="005F47B0">
        <w:t xml:space="preserve">this report </w:t>
      </w:r>
      <w:r w:rsidR="00573019">
        <w:t>in</w:t>
      </w:r>
      <w:r w:rsidR="00F407F4">
        <w:t xml:space="preserve"> collect</w:t>
      </w:r>
      <w:r w:rsidR="00573019">
        <w:t>ing</w:t>
      </w:r>
      <w:r w:rsidR="00F407F4">
        <w:t xml:space="preserve"> </w:t>
      </w:r>
      <w:r w:rsidR="00B12266">
        <w:t>and analys</w:t>
      </w:r>
      <w:r w:rsidR="00573019">
        <w:t>ing</w:t>
      </w:r>
      <w:r w:rsidR="00B12266">
        <w:t xml:space="preserve"> data </w:t>
      </w:r>
      <w:r w:rsidR="005F47B0">
        <w:t>on unmet demand</w:t>
      </w:r>
      <w:r w:rsidR="00304CE3">
        <w:t xml:space="preserve">. </w:t>
      </w:r>
    </w:p>
    <w:p w14:paraId="6341020A" w14:textId="77777777" w:rsidR="00BE0C9C" w:rsidRDefault="006F2B00" w:rsidP="00CD0EEB">
      <w:r>
        <w:t>DANA s</w:t>
      </w:r>
      <w:r w:rsidR="005B5285">
        <w:t xml:space="preserve">ubmissions to the Disability Royal Commission </w:t>
      </w:r>
      <w:r>
        <w:t>highlighted the value of</w:t>
      </w:r>
      <w:r w:rsidR="00113A8C">
        <w:t xml:space="preserve"> </w:t>
      </w:r>
      <w:r w:rsidR="00233F8F">
        <w:t xml:space="preserve">independent disability </w:t>
      </w:r>
      <w:r w:rsidR="00092395">
        <w:t>a</w:t>
      </w:r>
      <w:r w:rsidR="00233F8F">
        <w:t xml:space="preserve">dvocacy </w:t>
      </w:r>
      <w:r w:rsidR="00092395">
        <w:t xml:space="preserve">and the need </w:t>
      </w:r>
      <w:r w:rsidR="00573019">
        <w:t>to</w:t>
      </w:r>
      <w:r w:rsidR="00092395">
        <w:t xml:space="preserve"> significantly increase </w:t>
      </w:r>
      <w:r w:rsidR="00EE3447">
        <w:t xml:space="preserve">funding for the </w:t>
      </w:r>
      <w:r w:rsidR="005C002C">
        <w:t>sector</w:t>
      </w:r>
      <w:r w:rsidR="00EE3447">
        <w:t xml:space="preserve"> to </w:t>
      </w:r>
      <w:r w:rsidR="00ED7C78">
        <w:t xml:space="preserve">meet the </w:t>
      </w:r>
      <w:r w:rsidR="00A775F5">
        <w:t>current</w:t>
      </w:r>
      <w:r w:rsidR="00ED7C78">
        <w:t xml:space="preserve"> and future</w:t>
      </w:r>
      <w:r w:rsidR="00A775F5">
        <w:t xml:space="preserve"> demand for advocacy. </w:t>
      </w:r>
      <w:r w:rsidR="00ED7C78">
        <w:t xml:space="preserve"> </w:t>
      </w:r>
      <w:r w:rsidR="00233F8F">
        <w:t xml:space="preserve"> </w:t>
      </w:r>
      <w:r>
        <w:t xml:space="preserve"> </w:t>
      </w:r>
    </w:p>
    <w:p w14:paraId="4FF82228" w14:textId="77777777" w:rsidR="006444E6" w:rsidRDefault="006444E6" w:rsidP="00DB3FFC">
      <w:pPr>
        <w:rPr>
          <w:szCs w:val="22"/>
        </w:rPr>
      </w:pPr>
    </w:p>
    <w:p w14:paraId="7D434147" w14:textId="77777777" w:rsidR="00C011FB" w:rsidRDefault="00C011FB" w:rsidP="00DB3FFC">
      <w:pPr>
        <w:rPr>
          <w:szCs w:val="22"/>
        </w:rPr>
      </w:pPr>
    </w:p>
    <w:p w14:paraId="182C3E73" w14:textId="77777777" w:rsidR="00C011FB" w:rsidRDefault="00C011FB" w:rsidP="00DB3FFC">
      <w:pPr>
        <w:rPr>
          <w:szCs w:val="22"/>
        </w:rPr>
      </w:pPr>
    </w:p>
    <w:p w14:paraId="74648CC7" w14:textId="77777777" w:rsidR="00D94FB4" w:rsidRDefault="00D94FB4" w:rsidP="00DB3FFC">
      <w:pPr>
        <w:rPr>
          <w:szCs w:val="22"/>
        </w:rPr>
      </w:pPr>
    </w:p>
    <w:p w14:paraId="5079A7AD" w14:textId="77777777" w:rsidR="004772B0" w:rsidRDefault="004772B0" w:rsidP="008E1C34">
      <w:pPr>
        <w:rPr>
          <w:szCs w:val="22"/>
        </w:rPr>
      </w:pPr>
    </w:p>
    <w:p w14:paraId="66227B93" w14:textId="77777777" w:rsidR="00CD0EEB" w:rsidRDefault="00CD0EEB">
      <w:pPr>
        <w:rPr>
          <w:rFonts w:ascii="Acumin Pro Wide" w:eastAsiaTheme="majorEastAsia" w:hAnsi="Acumin Pro Wide" w:cstheme="majorBidi"/>
          <w:color w:val="003149"/>
          <w:sz w:val="44"/>
          <w:szCs w:val="32"/>
        </w:rPr>
      </w:pPr>
      <w:r>
        <w:br w:type="page"/>
      </w:r>
    </w:p>
    <w:p w14:paraId="53EBAD8A" w14:textId="77777777" w:rsidR="00914E86" w:rsidRPr="00E3687A" w:rsidRDefault="00261362" w:rsidP="00CD0EEB">
      <w:pPr>
        <w:pStyle w:val="Heading1"/>
      </w:pPr>
      <w:bookmarkStart w:id="8" w:name="_Toc149667969"/>
      <w:r w:rsidRPr="00E3687A">
        <w:lastRenderedPageBreak/>
        <w:t>Introduction</w:t>
      </w:r>
      <w:bookmarkEnd w:id="8"/>
    </w:p>
    <w:p w14:paraId="136D59A2" w14:textId="4AD3DEF5" w:rsidR="006F2604" w:rsidRDefault="00361C09" w:rsidP="00037275">
      <w:pPr>
        <w:rPr>
          <w:lang w:eastAsia="en-AU"/>
        </w:rPr>
      </w:pPr>
      <w:r>
        <w:rPr>
          <w:lang w:eastAsia="en-AU"/>
        </w:rPr>
        <w:t>Significant government reforms</w:t>
      </w:r>
      <w:r w:rsidR="00C11CF2" w:rsidRPr="00FC23BA">
        <w:rPr>
          <w:lang w:eastAsia="en-AU"/>
        </w:rPr>
        <w:t xml:space="preserve"> in the </w:t>
      </w:r>
      <w:r w:rsidR="006F220C">
        <w:rPr>
          <w:lang w:eastAsia="en-AU"/>
        </w:rPr>
        <w:t xml:space="preserve">Australian </w:t>
      </w:r>
      <w:r w:rsidR="00C11CF2" w:rsidRPr="00FC23BA">
        <w:rPr>
          <w:lang w:eastAsia="en-AU"/>
        </w:rPr>
        <w:t>disability sector</w:t>
      </w:r>
      <w:r w:rsidR="009F7046">
        <w:rPr>
          <w:lang w:eastAsia="en-AU"/>
        </w:rPr>
        <w:t xml:space="preserve"> o</w:t>
      </w:r>
      <w:r w:rsidR="009F7046" w:rsidRPr="00FC23BA">
        <w:rPr>
          <w:lang w:eastAsia="en-AU"/>
        </w:rPr>
        <w:t>ver the past decade</w:t>
      </w:r>
      <w:r w:rsidR="009F7046">
        <w:rPr>
          <w:lang w:eastAsia="en-AU"/>
        </w:rPr>
        <w:t xml:space="preserve"> </w:t>
      </w:r>
      <w:r>
        <w:rPr>
          <w:lang w:eastAsia="en-AU"/>
        </w:rPr>
        <w:t>and</w:t>
      </w:r>
      <w:r w:rsidR="009F7046">
        <w:rPr>
          <w:lang w:eastAsia="en-AU"/>
        </w:rPr>
        <w:t xml:space="preserve"> the</w:t>
      </w:r>
      <w:r w:rsidR="00C11CF2" w:rsidRPr="00FC23BA">
        <w:rPr>
          <w:lang w:eastAsia="en-AU"/>
        </w:rPr>
        <w:t xml:space="preserve"> introduction of the National Disability Insurance Scheme (NDIS) </w:t>
      </w:r>
      <w:r w:rsidR="006F2604">
        <w:rPr>
          <w:lang w:eastAsia="en-AU"/>
        </w:rPr>
        <w:t xml:space="preserve">in </w:t>
      </w:r>
      <w:r w:rsidR="00E04AD0">
        <w:rPr>
          <w:lang w:eastAsia="en-AU"/>
        </w:rPr>
        <w:t xml:space="preserve">2013 </w:t>
      </w:r>
      <w:r>
        <w:rPr>
          <w:lang w:eastAsia="en-AU"/>
        </w:rPr>
        <w:t>ha</w:t>
      </w:r>
      <w:r w:rsidR="00525596">
        <w:rPr>
          <w:lang w:eastAsia="en-AU"/>
        </w:rPr>
        <w:t>ve</w:t>
      </w:r>
      <w:r>
        <w:rPr>
          <w:lang w:eastAsia="en-AU"/>
        </w:rPr>
        <w:t xml:space="preserve"> </w:t>
      </w:r>
      <w:r w:rsidR="009F7046">
        <w:rPr>
          <w:lang w:eastAsia="en-AU"/>
        </w:rPr>
        <w:t>brought</w:t>
      </w:r>
      <w:r w:rsidR="00C11CF2" w:rsidRPr="00FC23BA">
        <w:rPr>
          <w:lang w:eastAsia="en-AU"/>
        </w:rPr>
        <w:t xml:space="preserve"> </w:t>
      </w:r>
      <w:r>
        <w:rPr>
          <w:lang w:eastAsia="en-AU"/>
        </w:rPr>
        <w:t>major</w:t>
      </w:r>
      <w:r w:rsidRPr="00FC23BA">
        <w:rPr>
          <w:lang w:eastAsia="en-AU"/>
        </w:rPr>
        <w:t xml:space="preserve"> </w:t>
      </w:r>
      <w:r w:rsidR="00C11CF2" w:rsidRPr="00FC23BA">
        <w:rPr>
          <w:lang w:eastAsia="en-AU"/>
        </w:rPr>
        <w:t xml:space="preserve">changes to funding and </w:t>
      </w:r>
      <w:r w:rsidR="009F7046">
        <w:rPr>
          <w:lang w:eastAsia="en-AU"/>
        </w:rPr>
        <w:t xml:space="preserve">the </w:t>
      </w:r>
      <w:r w:rsidR="00C11CF2" w:rsidRPr="00FC23BA">
        <w:rPr>
          <w:lang w:eastAsia="en-AU"/>
        </w:rPr>
        <w:t>roles of disability service organisations and peak bodies</w:t>
      </w:r>
      <w:r w:rsidR="006F220C">
        <w:rPr>
          <w:lang w:eastAsia="en-AU"/>
        </w:rPr>
        <w:t>.</w:t>
      </w:r>
      <w:r w:rsidR="00C11CF2" w:rsidRPr="00FC23BA">
        <w:rPr>
          <w:lang w:eastAsia="en-AU"/>
        </w:rPr>
        <w:t xml:space="preserve"> </w:t>
      </w:r>
      <w:r w:rsidR="009F7046">
        <w:rPr>
          <w:lang w:eastAsia="en-AU"/>
        </w:rPr>
        <w:t>T</w:t>
      </w:r>
      <w:r w:rsidR="00C11CF2" w:rsidRPr="00174E02">
        <w:rPr>
          <w:lang w:eastAsia="en-AU"/>
        </w:rPr>
        <w:t xml:space="preserve">hese changes have improved the support available for many individuals </w:t>
      </w:r>
      <w:r w:rsidR="00D02E05">
        <w:rPr>
          <w:lang w:eastAsia="en-AU"/>
        </w:rPr>
        <w:t xml:space="preserve">with disability </w:t>
      </w:r>
      <w:r w:rsidR="00C11CF2" w:rsidRPr="00174E02">
        <w:rPr>
          <w:lang w:eastAsia="en-AU"/>
        </w:rPr>
        <w:t>and their families</w:t>
      </w:r>
      <w:r w:rsidR="006F220C">
        <w:rPr>
          <w:lang w:eastAsia="en-AU"/>
        </w:rPr>
        <w:t>,</w:t>
      </w:r>
      <w:r w:rsidR="00C11CF2" w:rsidRPr="00174E02">
        <w:rPr>
          <w:lang w:eastAsia="en-AU"/>
        </w:rPr>
        <w:t xml:space="preserve"> and provided greater opportunit</w:t>
      </w:r>
      <w:r>
        <w:rPr>
          <w:lang w:eastAsia="en-AU"/>
        </w:rPr>
        <w:t>ies</w:t>
      </w:r>
      <w:r w:rsidR="00C11CF2" w:rsidRPr="00174E02">
        <w:rPr>
          <w:lang w:eastAsia="en-AU"/>
        </w:rPr>
        <w:t xml:space="preserve"> </w:t>
      </w:r>
      <w:r w:rsidR="00525596">
        <w:rPr>
          <w:lang w:eastAsia="en-AU"/>
        </w:rPr>
        <w:t xml:space="preserve">for people </w:t>
      </w:r>
      <w:r w:rsidR="00C11CF2" w:rsidRPr="00174E02">
        <w:rPr>
          <w:lang w:eastAsia="en-AU"/>
        </w:rPr>
        <w:t>to lead an ordinary life and participate in society</w:t>
      </w:r>
      <w:r w:rsidR="009F7046">
        <w:rPr>
          <w:lang w:eastAsia="en-AU"/>
        </w:rPr>
        <w:t>. However</w:t>
      </w:r>
      <w:r w:rsidR="009C219F">
        <w:rPr>
          <w:lang w:eastAsia="en-AU"/>
        </w:rPr>
        <w:t>,</w:t>
      </w:r>
      <w:r w:rsidR="009F7046">
        <w:rPr>
          <w:lang w:eastAsia="en-AU"/>
        </w:rPr>
        <w:t xml:space="preserve"> </w:t>
      </w:r>
      <w:r w:rsidR="00C11CF2" w:rsidRPr="00174E02">
        <w:rPr>
          <w:lang w:eastAsia="en-AU"/>
        </w:rPr>
        <w:t>there remain considerable challenges for people with disability exercising their human rights</w:t>
      </w:r>
      <w:r w:rsidR="00DB3FFC">
        <w:rPr>
          <w:lang w:eastAsia="en-AU"/>
        </w:rPr>
        <w:t xml:space="preserve"> and gaining the support they need</w:t>
      </w:r>
      <w:r w:rsidR="00C11CF2">
        <w:rPr>
          <w:lang w:eastAsia="en-AU"/>
        </w:rPr>
        <w:t xml:space="preserve">. </w:t>
      </w:r>
    </w:p>
    <w:p w14:paraId="65144ECD" w14:textId="54023A47" w:rsidR="006F2604" w:rsidRDefault="009F7046" w:rsidP="00037275">
      <w:r>
        <w:rPr>
          <w:lang w:eastAsia="en-AU"/>
        </w:rPr>
        <w:t>D</w:t>
      </w:r>
      <w:r w:rsidR="00C11CF2" w:rsidRPr="00FC23BA">
        <w:rPr>
          <w:lang w:eastAsia="en-AU"/>
        </w:rPr>
        <w:t xml:space="preserve">isability advocacy organisations </w:t>
      </w:r>
      <w:r>
        <w:rPr>
          <w:lang w:eastAsia="en-AU"/>
        </w:rPr>
        <w:t xml:space="preserve">play a significant role </w:t>
      </w:r>
      <w:r w:rsidR="00525596">
        <w:rPr>
          <w:lang w:eastAsia="en-AU"/>
        </w:rPr>
        <w:t xml:space="preserve">in </w:t>
      </w:r>
      <w:r w:rsidR="00C11CF2" w:rsidRPr="00FC23BA">
        <w:rPr>
          <w:lang w:eastAsia="en-AU"/>
        </w:rPr>
        <w:t>work</w:t>
      </w:r>
      <w:r>
        <w:rPr>
          <w:lang w:eastAsia="en-AU"/>
        </w:rPr>
        <w:t>ing</w:t>
      </w:r>
      <w:r w:rsidR="00C11CF2" w:rsidRPr="00FC23BA">
        <w:rPr>
          <w:lang w:eastAsia="en-AU"/>
        </w:rPr>
        <w:t xml:space="preserve"> with individuals and organisations </w:t>
      </w:r>
      <w:r>
        <w:rPr>
          <w:lang w:eastAsia="en-AU"/>
        </w:rPr>
        <w:t xml:space="preserve">to support </w:t>
      </w:r>
      <w:r w:rsidR="00C11CF2" w:rsidRPr="00FC23BA">
        <w:rPr>
          <w:lang w:eastAsia="en-AU"/>
        </w:rPr>
        <w:t xml:space="preserve">people with disability to </w:t>
      </w:r>
      <w:r>
        <w:rPr>
          <w:lang w:eastAsia="en-AU"/>
        </w:rPr>
        <w:t>uphold</w:t>
      </w:r>
      <w:r w:rsidR="00C11CF2" w:rsidRPr="00FC23BA">
        <w:rPr>
          <w:lang w:eastAsia="en-AU"/>
        </w:rPr>
        <w:t xml:space="preserve"> their rights, make their own decisions</w:t>
      </w:r>
      <w:r w:rsidR="006F220C">
        <w:rPr>
          <w:lang w:eastAsia="en-AU"/>
        </w:rPr>
        <w:t>,</w:t>
      </w:r>
      <w:r w:rsidR="00C11CF2" w:rsidRPr="00FC23BA">
        <w:rPr>
          <w:lang w:eastAsia="en-AU"/>
        </w:rPr>
        <w:t xml:space="preserve"> </w:t>
      </w:r>
      <w:r>
        <w:rPr>
          <w:lang w:eastAsia="en-AU"/>
        </w:rPr>
        <w:t>and</w:t>
      </w:r>
      <w:r w:rsidR="00C11CF2" w:rsidRPr="00FC23BA">
        <w:rPr>
          <w:lang w:eastAsia="en-AU"/>
        </w:rPr>
        <w:t xml:space="preserve"> receive advice</w:t>
      </w:r>
      <w:r w:rsidR="00FF4020">
        <w:rPr>
          <w:lang w:eastAsia="en-AU"/>
        </w:rPr>
        <w:t xml:space="preserve">, </w:t>
      </w:r>
      <w:r w:rsidR="007C4BBB" w:rsidRPr="00FC23BA">
        <w:rPr>
          <w:lang w:eastAsia="en-AU"/>
        </w:rPr>
        <w:t>support,</w:t>
      </w:r>
      <w:r w:rsidR="00FF4020">
        <w:rPr>
          <w:lang w:eastAsia="en-AU"/>
        </w:rPr>
        <w:t xml:space="preserve"> and access to appropriate services</w:t>
      </w:r>
      <w:r w:rsidR="00C11CF2" w:rsidRPr="00FC23BA">
        <w:rPr>
          <w:lang w:eastAsia="en-AU"/>
        </w:rPr>
        <w:t>.</w:t>
      </w:r>
      <w:r>
        <w:rPr>
          <w:lang w:eastAsia="en-AU"/>
        </w:rPr>
        <w:t xml:space="preserve"> </w:t>
      </w:r>
      <w:r w:rsidR="00370039">
        <w:rPr>
          <w:lang w:eastAsia="en-AU"/>
        </w:rPr>
        <w:t>O</w:t>
      </w:r>
      <w:r w:rsidR="006F2604">
        <w:rPr>
          <w:lang w:eastAsia="en-AU"/>
        </w:rPr>
        <w:t xml:space="preserve">rganisations of various types, </w:t>
      </w:r>
      <w:r w:rsidR="007C4BBB">
        <w:rPr>
          <w:lang w:eastAsia="en-AU"/>
        </w:rPr>
        <w:t>sizes,</w:t>
      </w:r>
      <w:r w:rsidR="006F2604">
        <w:rPr>
          <w:lang w:eastAsia="en-AU"/>
        </w:rPr>
        <w:t xml:space="preserve"> and capacity </w:t>
      </w:r>
      <w:r>
        <w:rPr>
          <w:lang w:eastAsia="en-AU"/>
        </w:rPr>
        <w:t xml:space="preserve">in jurisdictions across Australia receive funding </w:t>
      </w:r>
      <w:r w:rsidR="00525596">
        <w:rPr>
          <w:lang w:eastAsia="en-AU"/>
        </w:rPr>
        <w:t>from a range of national, state and other sources to provide disability advocacy support</w:t>
      </w:r>
      <w:r>
        <w:rPr>
          <w:lang w:eastAsia="en-AU"/>
        </w:rPr>
        <w:t xml:space="preserve">. </w:t>
      </w:r>
      <w:r w:rsidR="001D1EE9">
        <w:rPr>
          <w:lang w:eastAsia="en-AU"/>
        </w:rPr>
        <w:t xml:space="preserve">59 of these </w:t>
      </w:r>
      <w:r w:rsidR="00002BDD">
        <w:rPr>
          <w:lang w:eastAsia="en-AU"/>
        </w:rPr>
        <w:t xml:space="preserve">organisations are funded through the </w:t>
      </w:r>
      <w:r>
        <w:rPr>
          <w:lang w:eastAsia="en-AU"/>
        </w:rPr>
        <w:t>National Disability Advocacy Program (NDAP)</w:t>
      </w:r>
      <w:r w:rsidR="00723853">
        <w:rPr>
          <w:lang w:eastAsia="en-AU"/>
        </w:rPr>
        <w:t xml:space="preserve"> funded through the Commonwealth </w:t>
      </w:r>
      <w:r w:rsidR="008C1A99">
        <w:rPr>
          <w:lang w:eastAsia="en-AU"/>
        </w:rPr>
        <w:t>Department of Social Services (DSS</w:t>
      </w:r>
      <w:r w:rsidR="008C1A99" w:rsidRPr="001F29F5">
        <w:rPr>
          <w:lang w:eastAsia="en-AU"/>
        </w:rPr>
        <w:t>)</w:t>
      </w:r>
      <w:r w:rsidR="00AE33D7">
        <w:rPr>
          <w:lang w:eastAsia="en-AU"/>
        </w:rPr>
        <w:t>. O</w:t>
      </w:r>
      <w:r w:rsidR="00D84D54">
        <w:rPr>
          <w:lang w:eastAsia="en-AU"/>
        </w:rPr>
        <w:t xml:space="preserve">ther targeted funding programs include </w:t>
      </w:r>
      <w:r w:rsidR="009C219F">
        <w:rPr>
          <w:lang w:eastAsia="en-AU"/>
        </w:rPr>
        <w:t xml:space="preserve">or have included </w:t>
      </w:r>
      <w:r w:rsidR="00D84D54">
        <w:rPr>
          <w:lang w:eastAsia="en-AU"/>
        </w:rPr>
        <w:t>Disability Royal Commission</w:t>
      </w:r>
      <w:r w:rsidR="007105BD">
        <w:rPr>
          <w:lang w:eastAsia="en-AU"/>
        </w:rPr>
        <w:t xml:space="preserve"> (DRC)</w:t>
      </w:r>
      <w:r w:rsidR="00D84D54">
        <w:rPr>
          <w:lang w:eastAsia="en-AU"/>
        </w:rPr>
        <w:t xml:space="preserve"> individual advocacy funding, Decision Support </w:t>
      </w:r>
      <w:r w:rsidR="00E04AD0">
        <w:rPr>
          <w:lang w:eastAsia="en-AU"/>
        </w:rPr>
        <w:t xml:space="preserve">Pilot </w:t>
      </w:r>
      <w:r w:rsidR="00D84D54">
        <w:rPr>
          <w:lang w:eastAsia="en-AU"/>
        </w:rPr>
        <w:t xml:space="preserve">and </w:t>
      </w:r>
      <w:r w:rsidR="005551E6">
        <w:rPr>
          <w:lang w:eastAsia="en-AU"/>
        </w:rPr>
        <w:t>the</w:t>
      </w:r>
      <w:r w:rsidR="00123E5F">
        <w:rPr>
          <w:lang w:eastAsia="en-AU"/>
        </w:rPr>
        <w:t xml:space="preserve"> </w:t>
      </w:r>
      <w:r w:rsidR="008C1A99">
        <w:rPr>
          <w:lang w:eastAsia="en-AU"/>
        </w:rPr>
        <w:t xml:space="preserve">NDIS Appeals </w:t>
      </w:r>
      <w:r w:rsidR="00D91E5A">
        <w:rPr>
          <w:lang w:eastAsia="en-AU"/>
        </w:rPr>
        <w:t>Program</w:t>
      </w:r>
      <w:r w:rsidR="008C1A99">
        <w:rPr>
          <w:lang w:eastAsia="en-AU"/>
        </w:rPr>
        <w:t xml:space="preserve"> </w:t>
      </w:r>
      <w:r w:rsidR="00D84D54">
        <w:rPr>
          <w:lang w:eastAsia="en-AU"/>
        </w:rPr>
        <w:t xml:space="preserve">that </w:t>
      </w:r>
      <w:r w:rsidR="00525596">
        <w:rPr>
          <w:lang w:eastAsia="en-AU"/>
        </w:rPr>
        <w:t>was</w:t>
      </w:r>
      <w:r w:rsidR="008C1A99">
        <w:rPr>
          <w:lang w:eastAsia="en-AU"/>
        </w:rPr>
        <w:t xml:space="preserve"> established by DSS for provision of </w:t>
      </w:r>
      <w:r w:rsidR="008C1A99">
        <w:t>a</w:t>
      </w:r>
      <w:r w:rsidR="008C1A99" w:rsidRPr="00DD1657">
        <w:t>dvocacy and legal support for external reviews</w:t>
      </w:r>
      <w:r w:rsidR="00477F28">
        <w:t xml:space="preserve"> of NDIA decisions</w:t>
      </w:r>
      <w:r w:rsidR="008C1A99">
        <w:t xml:space="preserve">. </w:t>
      </w:r>
      <w:r w:rsidR="003D310D">
        <w:t>The</w:t>
      </w:r>
      <w:r w:rsidR="009A305F">
        <w:t xml:space="preserve"> Disability Royal Commission</w:t>
      </w:r>
      <w:r w:rsidR="00D12C0F">
        <w:t xml:space="preserve"> and Decision Support Pilot</w:t>
      </w:r>
      <w:r w:rsidR="009A305F">
        <w:t xml:space="preserve"> individual advocacy programs ceased </w:t>
      </w:r>
      <w:r w:rsidR="00D12C0F">
        <w:t xml:space="preserve">on </w:t>
      </w:r>
      <w:r w:rsidR="009A305F">
        <w:t>30 June 2023.</w:t>
      </w:r>
    </w:p>
    <w:p w14:paraId="571FFC17" w14:textId="615CC4A2" w:rsidR="00C11CF2" w:rsidRPr="00FC23BA" w:rsidRDefault="00350621" w:rsidP="00037275">
      <w:pPr>
        <w:rPr>
          <w:lang w:eastAsia="en-AU"/>
        </w:rPr>
      </w:pPr>
      <w:r>
        <w:t xml:space="preserve">Organisations </w:t>
      </w:r>
      <w:r w:rsidR="009B3CFA">
        <w:t>provide</w:t>
      </w:r>
      <w:r w:rsidR="00525596">
        <w:t xml:space="preserve"> </w:t>
      </w:r>
      <w:r w:rsidR="00E525C4">
        <w:t>anecdotal reports</w:t>
      </w:r>
      <w:r w:rsidR="0067271E">
        <w:t xml:space="preserve"> </w:t>
      </w:r>
      <w:r w:rsidR="00D40652">
        <w:t xml:space="preserve">of </w:t>
      </w:r>
      <w:r w:rsidR="00525596">
        <w:t xml:space="preserve">increasing levels of </w:t>
      </w:r>
      <w:r w:rsidR="00E525C4" w:rsidRPr="00FC23BA">
        <w:t>unmet demand for disability advocacy</w:t>
      </w:r>
      <w:r w:rsidR="00D84D54">
        <w:t>, particularly over the past decade</w:t>
      </w:r>
      <w:r w:rsidR="00525596">
        <w:t>.</w:t>
      </w:r>
      <w:r w:rsidR="00F71EF4" w:rsidDel="00F71EF4">
        <w:t xml:space="preserve"> </w:t>
      </w:r>
      <w:r w:rsidR="00F76F51">
        <w:t>O</w:t>
      </w:r>
      <w:r w:rsidR="00D84D54">
        <w:rPr>
          <w:lang w:eastAsia="en-AU"/>
        </w:rPr>
        <w:t xml:space="preserve">ne </w:t>
      </w:r>
      <w:r w:rsidR="00D84D54" w:rsidRPr="00FC23BA">
        <w:rPr>
          <w:lang w:eastAsia="en-AU"/>
        </w:rPr>
        <w:t>unintended consequence</w:t>
      </w:r>
      <w:r w:rsidR="005551E6">
        <w:rPr>
          <w:lang w:eastAsia="en-AU"/>
        </w:rPr>
        <w:t xml:space="preserve"> </w:t>
      </w:r>
      <w:r w:rsidR="00D84D54" w:rsidRPr="00FC23BA">
        <w:rPr>
          <w:lang w:eastAsia="en-AU"/>
        </w:rPr>
        <w:t xml:space="preserve">of the introduction of the NDIS has been </w:t>
      </w:r>
      <w:r w:rsidR="00D84D54">
        <w:rPr>
          <w:lang w:eastAsia="en-AU"/>
        </w:rPr>
        <w:t>a significant</w:t>
      </w:r>
      <w:r w:rsidR="00D84D54" w:rsidRPr="00FC23BA">
        <w:rPr>
          <w:lang w:eastAsia="en-AU"/>
        </w:rPr>
        <w:t xml:space="preserve"> increase in demand for advocacy</w:t>
      </w:r>
      <w:r w:rsidR="00D16362" w:rsidRPr="00FC23BA">
        <w:rPr>
          <w:lang w:eastAsia="en-AU"/>
        </w:rPr>
        <w:t>.</w:t>
      </w:r>
      <w:r w:rsidR="00D16362">
        <w:rPr>
          <w:lang w:eastAsia="en-AU"/>
        </w:rPr>
        <w:t xml:space="preserve"> </w:t>
      </w:r>
      <w:r w:rsidR="00525596">
        <w:rPr>
          <w:lang w:eastAsia="en-AU"/>
        </w:rPr>
        <w:t xml:space="preserve">This level of unmet demand was reportedly due to </w:t>
      </w:r>
      <w:r w:rsidR="009D4DAC">
        <w:rPr>
          <w:lang w:eastAsia="en-AU"/>
        </w:rPr>
        <w:t xml:space="preserve">the </w:t>
      </w:r>
      <w:r w:rsidR="00525596">
        <w:rPr>
          <w:lang w:eastAsia="en-AU"/>
        </w:rPr>
        <w:t xml:space="preserve">limited capacity and resourcing of </w:t>
      </w:r>
      <w:r w:rsidR="009D4DAC">
        <w:rPr>
          <w:lang w:eastAsia="en-AU"/>
        </w:rPr>
        <w:t xml:space="preserve">disability advocacy </w:t>
      </w:r>
      <w:r w:rsidR="00525596">
        <w:rPr>
          <w:lang w:eastAsia="en-AU"/>
        </w:rPr>
        <w:t>organisations</w:t>
      </w:r>
      <w:r w:rsidR="009D4DAC">
        <w:rPr>
          <w:lang w:eastAsia="en-AU"/>
        </w:rPr>
        <w:t>.</w:t>
      </w:r>
      <w:r w:rsidR="00525596">
        <w:rPr>
          <w:lang w:eastAsia="en-AU"/>
        </w:rPr>
        <w:t xml:space="preserve"> However</w:t>
      </w:r>
      <w:r w:rsidR="009C219F">
        <w:rPr>
          <w:lang w:eastAsia="en-AU"/>
        </w:rPr>
        <w:t>,</w:t>
      </w:r>
      <w:r w:rsidR="00525596">
        <w:rPr>
          <w:lang w:eastAsia="en-AU"/>
        </w:rPr>
        <w:t xml:space="preserve"> </w:t>
      </w:r>
      <w:r w:rsidR="00E525C4">
        <w:rPr>
          <w:lang w:eastAsia="en-AU"/>
        </w:rPr>
        <w:t xml:space="preserve">unmet demand had not been </w:t>
      </w:r>
      <w:r w:rsidR="00525596">
        <w:rPr>
          <w:lang w:eastAsia="en-AU"/>
        </w:rPr>
        <w:t xml:space="preserve">formally </w:t>
      </w:r>
      <w:r w:rsidR="00E525C4">
        <w:rPr>
          <w:lang w:eastAsia="en-AU"/>
        </w:rPr>
        <w:t xml:space="preserve">investigated and </w:t>
      </w:r>
      <w:r w:rsidR="00E525C4" w:rsidRPr="00FC23BA">
        <w:t xml:space="preserve">no data </w:t>
      </w:r>
      <w:r w:rsidR="00E525C4">
        <w:t xml:space="preserve">was available </w:t>
      </w:r>
      <w:r w:rsidR="00E525C4" w:rsidRPr="00FC23BA">
        <w:t xml:space="preserve">on the scope </w:t>
      </w:r>
      <w:r w:rsidR="00E525C4">
        <w:t xml:space="preserve">and nature </w:t>
      </w:r>
      <w:r w:rsidR="00E525C4" w:rsidRPr="00FC23BA">
        <w:t>of the issue</w:t>
      </w:r>
      <w:r w:rsidR="00525596">
        <w:t>, the specific factors contributing to it</w:t>
      </w:r>
      <w:r w:rsidR="00E525C4" w:rsidRPr="00FC23BA">
        <w:t xml:space="preserve"> or how to address it.</w:t>
      </w:r>
      <w:r w:rsidR="00E525C4">
        <w:t xml:space="preserve"> </w:t>
      </w:r>
    </w:p>
    <w:p w14:paraId="0116F499" w14:textId="77777777" w:rsidR="00261362" w:rsidRPr="00E3687A" w:rsidRDefault="00FE497D" w:rsidP="008F5538">
      <w:pPr>
        <w:pStyle w:val="Heading1"/>
      </w:pPr>
      <w:bookmarkStart w:id="9" w:name="_Toc149667970"/>
      <w:r w:rsidRPr="00E3687A">
        <w:t>The Intake Project</w:t>
      </w:r>
      <w:bookmarkEnd w:id="9"/>
    </w:p>
    <w:p w14:paraId="17EDFAB2" w14:textId="3B6AAF00" w:rsidR="00E723B3" w:rsidRPr="007B736D" w:rsidRDefault="00FF4020" w:rsidP="007B736D">
      <w:pPr>
        <w:rPr>
          <w:lang w:eastAsia="en-AU"/>
        </w:rPr>
      </w:pPr>
      <w:r>
        <w:rPr>
          <w:lang w:eastAsia="en-AU"/>
        </w:rPr>
        <w:t>In 2021</w:t>
      </w:r>
      <w:r w:rsidR="009C219F">
        <w:rPr>
          <w:lang w:eastAsia="en-AU"/>
        </w:rPr>
        <w:t>,</w:t>
      </w:r>
      <w:r>
        <w:rPr>
          <w:lang w:eastAsia="en-AU"/>
        </w:rPr>
        <w:t xml:space="preserve"> </w:t>
      </w:r>
      <w:r w:rsidRPr="00FC23BA">
        <w:rPr>
          <w:lang w:eastAsia="en-AU"/>
        </w:rPr>
        <w:t xml:space="preserve">DSS commissioned DANA to conduct a 12-month project </w:t>
      </w:r>
      <w:r>
        <w:rPr>
          <w:lang w:eastAsia="en-AU"/>
        </w:rPr>
        <w:t xml:space="preserve">(the Intake Project) </w:t>
      </w:r>
      <w:r w:rsidRPr="00FC23BA">
        <w:rPr>
          <w:lang w:eastAsia="en-AU"/>
        </w:rPr>
        <w:t xml:space="preserve">to </w:t>
      </w:r>
      <w:r w:rsidR="00D84D54">
        <w:rPr>
          <w:lang w:eastAsia="en-AU"/>
        </w:rPr>
        <w:t>explore</w:t>
      </w:r>
      <w:r w:rsidR="00487173">
        <w:rPr>
          <w:lang w:eastAsia="en-AU"/>
        </w:rPr>
        <w:t xml:space="preserve"> current capacity </w:t>
      </w:r>
      <w:r w:rsidR="00D84D54">
        <w:rPr>
          <w:lang w:eastAsia="en-AU"/>
        </w:rPr>
        <w:t>and unmet demand for disability advocacy</w:t>
      </w:r>
      <w:r w:rsidR="009D4DAC">
        <w:rPr>
          <w:lang w:eastAsia="en-AU"/>
        </w:rPr>
        <w:t>,</w:t>
      </w:r>
      <w:r w:rsidR="00D84D54">
        <w:rPr>
          <w:lang w:eastAsia="en-AU"/>
        </w:rPr>
        <w:t xml:space="preserve"> and to investigate organisations’ </w:t>
      </w:r>
      <w:r w:rsidR="00D84D54" w:rsidRPr="00FC23BA">
        <w:rPr>
          <w:lang w:eastAsia="en-AU"/>
        </w:rPr>
        <w:t xml:space="preserve">intake </w:t>
      </w:r>
      <w:r w:rsidR="00D84D54">
        <w:rPr>
          <w:lang w:eastAsia="en-AU"/>
        </w:rPr>
        <w:t xml:space="preserve">and referral processes and </w:t>
      </w:r>
      <w:r w:rsidR="00D84D54" w:rsidRPr="00FE497D">
        <w:rPr>
          <w:lang w:val="en-GB" w:eastAsia="en-AU"/>
        </w:rPr>
        <w:t xml:space="preserve">the barriers to meeting </w:t>
      </w:r>
      <w:r w:rsidR="00D84D54">
        <w:rPr>
          <w:lang w:val="en-GB" w:eastAsia="en-AU"/>
        </w:rPr>
        <w:t xml:space="preserve">the </w:t>
      </w:r>
      <w:r w:rsidR="00D84D54" w:rsidRPr="00FE497D">
        <w:rPr>
          <w:lang w:val="en-GB" w:eastAsia="en-AU"/>
        </w:rPr>
        <w:t>demand</w:t>
      </w:r>
      <w:r w:rsidR="00D84D54">
        <w:rPr>
          <w:lang w:val="en-GB" w:eastAsia="en-AU"/>
        </w:rPr>
        <w:t>.</w:t>
      </w:r>
      <w:r w:rsidR="00D84D54" w:rsidRPr="00FE497D">
        <w:rPr>
          <w:lang w:val="en-GB" w:eastAsia="en-AU"/>
        </w:rPr>
        <w:t xml:space="preserve"> </w:t>
      </w:r>
      <w:r w:rsidR="006C4718" w:rsidRPr="006C4718">
        <w:t>It provided a</w:t>
      </w:r>
      <w:r w:rsidR="009D4DAC">
        <w:t>n</w:t>
      </w:r>
      <w:r w:rsidR="00D02E05">
        <w:t xml:space="preserve"> </w:t>
      </w:r>
      <w:r w:rsidR="006C4718" w:rsidRPr="006C4718">
        <w:t>opportunity to gather insights into sector capacity.</w:t>
      </w:r>
      <w:r w:rsidR="00D84D54">
        <w:t xml:space="preserve"> </w:t>
      </w:r>
      <w:r w:rsidR="00FE497D">
        <w:rPr>
          <w:lang w:eastAsia="en-AU"/>
        </w:rPr>
        <w:t xml:space="preserve">The project </w:t>
      </w:r>
      <w:r>
        <w:rPr>
          <w:lang w:eastAsia="en-AU"/>
        </w:rPr>
        <w:t>was also</w:t>
      </w:r>
      <w:r w:rsidRPr="00FC23BA">
        <w:rPr>
          <w:lang w:eastAsia="en-AU"/>
        </w:rPr>
        <w:t xml:space="preserve"> </w:t>
      </w:r>
      <w:r w:rsidR="00FE497D">
        <w:rPr>
          <w:lang w:eastAsia="en-AU"/>
        </w:rPr>
        <w:t xml:space="preserve">required </w:t>
      </w:r>
      <w:r w:rsidRPr="00FC23BA">
        <w:rPr>
          <w:lang w:eastAsia="en-AU"/>
        </w:rPr>
        <w:t xml:space="preserve">to develop an </w:t>
      </w:r>
      <w:r w:rsidR="006F2604" w:rsidRPr="006A0943">
        <w:rPr>
          <w:i/>
          <w:iCs/>
          <w:lang w:eastAsia="en-AU"/>
        </w:rPr>
        <w:t>I</w:t>
      </w:r>
      <w:r w:rsidRPr="006A0943">
        <w:rPr>
          <w:i/>
          <w:iCs/>
          <w:lang w:eastAsia="en-AU"/>
        </w:rPr>
        <w:t xml:space="preserve">ntake </w:t>
      </w:r>
      <w:r w:rsidR="006F2604" w:rsidRPr="006A0943">
        <w:rPr>
          <w:i/>
          <w:iCs/>
          <w:lang w:eastAsia="en-AU"/>
        </w:rPr>
        <w:t>R</w:t>
      </w:r>
      <w:r w:rsidRPr="006A0943">
        <w:rPr>
          <w:i/>
          <w:iCs/>
          <w:lang w:eastAsia="en-AU"/>
        </w:rPr>
        <w:t xml:space="preserve">eference </w:t>
      </w:r>
      <w:r w:rsidR="006F2604" w:rsidRPr="006A0943">
        <w:rPr>
          <w:i/>
          <w:iCs/>
          <w:lang w:eastAsia="en-AU"/>
        </w:rPr>
        <w:t>G</w:t>
      </w:r>
      <w:r w:rsidRPr="006A0943">
        <w:rPr>
          <w:i/>
          <w:iCs/>
          <w:lang w:eastAsia="en-AU"/>
        </w:rPr>
        <w:t>uide</w:t>
      </w:r>
      <w:r w:rsidRPr="00FC23BA">
        <w:rPr>
          <w:lang w:eastAsia="en-AU"/>
        </w:rPr>
        <w:t xml:space="preserve"> </w:t>
      </w:r>
      <w:r w:rsidR="00081DFC">
        <w:rPr>
          <w:lang w:eastAsia="en-AU"/>
        </w:rPr>
        <w:t xml:space="preserve">in conjunction </w:t>
      </w:r>
      <w:r w:rsidRPr="00FC23BA">
        <w:rPr>
          <w:lang w:eastAsia="en-AU"/>
        </w:rPr>
        <w:t>with the disability advocacy sector</w:t>
      </w:r>
      <w:r w:rsidR="00525596">
        <w:rPr>
          <w:lang w:eastAsia="en-AU"/>
        </w:rPr>
        <w:t xml:space="preserve"> using a participatory, co</w:t>
      </w:r>
      <w:r w:rsidR="009D4DAC">
        <w:rPr>
          <w:lang w:eastAsia="en-AU"/>
        </w:rPr>
        <w:t>-</w:t>
      </w:r>
      <w:r w:rsidR="00525596">
        <w:rPr>
          <w:lang w:eastAsia="en-AU"/>
        </w:rPr>
        <w:t>design approach</w:t>
      </w:r>
      <w:r w:rsidR="006F2604">
        <w:rPr>
          <w:lang w:eastAsia="en-AU"/>
        </w:rPr>
        <w:t xml:space="preserve"> as a support resource for the sector</w:t>
      </w:r>
      <w:r w:rsidRPr="00FC23BA">
        <w:rPr>
          <w:lang w:eastAsia="en-AU"/>
        </w:rPr>
        <w:t>.</w:t>
      </w:r>
    </w:p>
    <w:p w14:paraId="1FB74CE4" w14:textId="77777777" w:rsidR="00DE2826" w:rsidRPr="00550A1F" w:rsidRDefault="00DE2826" w:rsidP="00550A1F">
      <w:pPr>
        <w:pStyle w:val="Heading1"/>
      </w:pPr>
      <w:bookmarkStart w:id="10" w:name="_Toc149667971"/>
      <w:r w:rsidRPr="00550A1F">
        <w:t>Methodology</w:t>
      </w:r>
      <w:bookmarkEnd w:id="10"/>
    </w:p>
    <w:p w14:paraId="560D9294" w14:textId="0F031822" w:rsidR="007F0EB5" w:rsidRPr="00525596" w:rsidRDefault="007F0EB5" w:rsidP="00037275">
      <w:pPr>
        <w:rPr>
          <w:strike/>
          <w:lang w:eastAsia="en-AU"/>
        </w:rPr>
      </w:pPr>
      <w:r w:rsidRPr="007F0EB5">
        <w:rPr>
          <w:lang w:eastAsia="en-AU"/>
        </w:rPr>
        <w:t xml:space="preserve">The project </w:t>
      </w:r>
      <w:r w:rsidR="006C4718">
        <w:rPr>
          <w:lang w:eastAsia="en-AU"/>
        </w:rPr>
        <w:t xml:space="preserve">methodology </w:t>
      </w:r>
      <w:r w:rsidRPr="007F0EB5">
        <w:rPr>
          <w:lang w:eastAsia="en-AU"/>
        </w:rPr>
        <w:t>sought to investigat</w:t>
      </w:r>
      <w:r w:rsidR="006C4718">
        <w:rPr>
          <w:lang w:eastAsia="en-AU"/>
        </w:rPr>
        <w:t>e the extent and nature of disability advocacy demand</w:t>
      </w:r>
      <w:r w:rsidR="007B736D">
        <w:rPr>
          <w:lang w:eastAsia="en-AU"/>
        </w:rPr>
        <w:t>,</w:t>
      </w:r>
      <w:r w:rsidR="006C4718">
        <w:rPr>
          <w:lang w:eastAsia="en-AU"/>
        </w:rPr>
        <w:t xml:space="preserve"> and in particular to quantify</w:t>
      </w:r>
      <w:r w:rsidRPr="007F0EB5">
        <w:rPr>
          <w:lang w:eastAsia="en-AU"/>
        </w:rPr>
        <w:t xml:space="preserve"> </w:t>
      </w:r>
      <w:r>
        <w:rPr>
          <w:b/>
          <w:bCs/>
          <w:lang w:eastAsia="en-AU"/>
        </w:rPr>
        <w:t>u</w:t>
      </w:r>
      <w:r w:rsidR="00FE497D" w:rsidRPr="007F0EB5">
        <w:rPr>
          <w:b/>
          <w:bCs/>
          <w:lang w:eastAsia="en-AU"/>
        </w:rPr>
        <w:t>nmet demand</w:t>
      </w:r>
      <w:r>
        <w:rPr>
          <w:b/>
          <w:bCs/>
          <w:lang w:eastAsia="en-AU"/>
        </w:rPr>
        <w:t xml:space="preserve"> </w:t>
      </w:r>
      <w:r w:rsidR="006C4718">
        <w:t xml:space="preserve">and explore the factors contributing to capacity issues in disability advocacy organisations. </w:t>
      </w:r>
      <w:r>
        <w:rPr>
          <w:lang w:eastAsia="en-AU"/>
        </w:rPr>
        <w:t xml:space="preserve">Measurement of </w:t>
      </w:r>
      <w:r w:rsidRPr="007F0EB5">
        <w:rPr>
          <w:b/>
          <w:bCs/>
          <w:lang w:eastAsia="en-AU"/>
        </w:rPr>
        <w:t>unmet need</w:t>
      </w:r>
      <w:r>
        <w:rPr>
          <w:lang w:eastAsia="en-AU"/>
        </w:rPr>
        <w:t xml:space="preserve"> was beyond the scope of th</w:t>
      </w:r>
      <w:r w:rsidR="00D37450">
        <w:rPr>
          <w:lang w:eastAsia="en-AU"/>
        </w:rPr>
        <w:t>is</w:t>
      </w:r>
      <w:r>
        <w:rPr>
          <w:lang w:eastAsia="en-AU"/>
        </w:rPr>
        <w:t xml:space="preserve"> project</w:t>
      </w:r>
      <w:r w:rsidR="00D37450">
        <w:rPr>
          <w:lang w:eastAsia="en-AU"/>
        </w:rPr>
        <w:t>.</w:t>
      </w:r>
      <w:r w:rsidR="000249D1">
        <w:rPr>
          <w:lang w:eastAsia="en-AU"/>
        </w:rPr>
        <w:t xml:space="preserve"> </w:t>
      </w:r>
    </w:p>
    <w:p w14:paraId="1DCFA490" w14:textId="77777777" w:rsidR="00550A1F" w:rsidRDefault="00550A1F" w:rsidP="00037275">
      <w:pPr>
        <w:rPr>
          <w:lang w:eastAsia="en-AU"/>
        </w:rPr>
      </w:pPr>
    </w:p>
    <w:p w14:paraId="61BD2A1B" w14:textId="45A9CAA3" w:rsidR="00134560" w:rsidRPr="00FC23BA" w:rsidRDefault="007F0EB5" w:rsidP="00037275">
      <w:pPr>
        <w:rPr>
          <w:lang w:eastAsia="en-AU"/>
        </w:rPr>
      </w:pPr>
      <w:r>
        <w:rPr>
          <w:lang w:eastAsia="en-AU"/>
        </w:rPr>
        <w:lastRenderedPageBreak/>
        <w:t>A</w:t>
      </w:r>
      <w:r w:rsidR="00234C04" w:rsidRPr="00FC23BA">
        <w:rPr>
          <w:lang w:eastAsia="en-AU"/>
        </w:rPr>
        <w:t xml:space="preserve"> </w:t>
      </w:r>
      <w:r w:rsidR="00E525C4">
        <w:rPr>
          <w:lang w:eastAsia="en-AU"/>
        </w:rPr>
        <w:t xml:space="preserve">mixed methods approach </w:t>
      </w:r>
      <w:r>
        <w:rPr>
          <w:lang w:eastAsia="en-AU"/>
        </w:rPr>
        <w:t xml:space="preserve">was </w:t>
      </w:r>
      <w:r w:rsidR="00525596">
        <w:rPr>
          <w:lang w:eastAsia="en-AU"/>
        </w:rPr>
        <w:t>utilised</w:t>
      </w:r>
      <w:r w:rsidR="00E525C4">
        <w:rPr>
          <w:lang w:eastAsia="en-AU"/>
        </w:rPr>
        <w:t xml:space="preserve"> for collection </w:t>
      </w:r>
      <w:r>
        <w:rPr>
          <w:lang w:eastAsia="en-AU"/>
        </w:rPr>
        <w:t xml:space="preserve">of </w:t>
      </w:r>
      <w:r w:rsidR="00525596">
        <w:rPr>
          <w:lang w:eastAsia="en-AU"/>
        </w:rPr>
        <w:t xml:space="preserve">quantitative and </w:t>
      </w:r>
      <w:r w:rsidR="00E525C4">
        <w:rPr>
          <w:lang w:eastAsia="en-AU"/>
        </w:rPr>
        <w:t xml:space="preserve">qualitative data </w:t>
      </w:r>
      <w:r w:rsidR="00525596">
        <w:rPr>
          <w:lang w:eastAsia="en-AU"/>
        </w:rPr>
        <w:t xml:space="preserve">including </w:t>
      </w:r>
      <w:r w:rsidR="00E525C4">
        <w:rPr>
          <w:lang w:eastAsia="en-AU"/>
        </w:rPr>
        <w:t>the</w:t>
      </w:r>
      <w:r w:rsidR="00234C04" w:rsidRPr="00FC23BA">
        <w:rPr>
          <w:lang w:eastAsia="en-AU"/>
        </w:rPr>
        <w:t xml:space="preserve"> following</w:t>
      </w:r>
      <w:r w:rsidR="00525596">
        <w:rPr>
          <w:lang w:eastAsia="en-AU"/>
        </w:rPr>
        <w:t xml:space="preserve"> methods</w:t>
      </w:r>
      <w:r w:rsidR="00234C04" w:rsidRPr="00FC23BA">
        <w:rPr>
          <w:lang w:eastAsia="en-AU"/>
        </w:rPr>
        <w:t xml:space="preserve">: </w:t>
      </w:r>
    </w:p>
    <w:p w14:paraId="31052EB1" w14:textId="5784C10B" w:rsidR="00234C04" w:rsidRPr="00FC23BA" w:rsidRDefault="00234C04" w:rsidP="007B736D">
      <w:pPr>
        <w:pStyle w:val="ListParagraph"/>
        <w:numPr>
          <w:ilvl w:val="0"/>
          <w:numId w:val="3"/>
        </w:numPr>
        <w:spacing w:after="120"/>
        <w:ind w:left="714" w:hanging="357"/>
        <w:contextualSpacing w:val="0"/>
        <w:rPr>
          <w:szCs w:val="22"/>
          <w:lang w:eastAsia="en-AU"/>
        </w:rPr>
      </w:pPr>
      <w:r w:rsidRPr="009C219F">
        <w:rPr>
          <w:b/>
          <w:szCs w:val="22"/>
          <w:lang w:eastAsia="en-AU"/>
        </w:rPr>
        <w:t>A</w:t>
      </w:r>
      <w:r w:rsidR="00E525C4" w:rsidRPr="009C219F">
        <w:rPr>
          <w:b/>
          <w:szCs w:val="22"/>
          <w:lang w:eastAsia="en-AU"/>
        </w:rPr>
        <w:t>n online</w:t>
      </w:r>
      <w:r w:rsidRPr="009C219F">
        <w:rPr>
          <w:b/>
          <w:szCs w:val="22"/>
          <w:lang w:eastAsia="en-AU"/>
        </w:rPr>
        <w:t xml:space="preserve"> </w:t>
      </w:r>
      <w:r w:rsidRPr="009C219F">
        <w:rPr>
          <w:b/>
          <w:bCs/>
          <w:szCs w:val="22"/>
          <w:lang w:eastAsia="en-AU"/>
        </w:rPr>
        <w:t>survey</w:t>
      </w:r>
      <w:r w:rsidRPr="00FC23BA">
        <w:rPr>
          <w:szCs w:val="22"/>
          <w:lang w:eastAsia="en-AU"/>
        </w:rPr>
        <w:t xml:space="preserve"> distributed each month for </w:t>
      </w:r>
      <w:r w:rsidR="007B736D">
        <w:rPr>
          <w:szCs w:val="22"/>
          <w:lang w:eastAsia="en-AU"/>
        </w:rPr>
        <w:t xml:space="preserve">six </w:t>
      </w:r>
      <w:r w:rsidRPr="00FC23BA">
        <w:rPr>
          <w:szCs w:val="22"/>
          <w:lang w:eastAsia="en-AU"/>
        </w:rPr>
        <w:t xml:space="preserve">months </w:t>
      </w:r>
      <w:r w:rsidR="000249D1">
        <w:rPr>
          <w:szCs w:val="22"/>
          <w:lang w:eastAsia="en-AU"/>
        </w:rPr>
        <w:t>(</w:t>
      </w:r>
      <w:r w:rsidR="000249D1" w:rsidRPr="00FC23BA">
        <w:rPr>
          <w:rFonts w:cs="Helvetica"/>
          <w:szCs w:val="22"/>
        </w:rPr>
        <w:t>September 2021</w:t>
      </w:r>
      <w:r w:rsidR="008025A9">
        <w:rPr>
          <w:rFonts w:cs="Helvetica"/>
          <w:szCs w:val="22"/>
        </w:rPr>
        <w:t xml:space="preserve"> </w:t>
      </w:r>
      <w:r w:rsidR="005551E6">
        <w:rPr>
          <w:rFonts w:cs="Helvetica"/>
          <w:szCs w:val="22"/>
        </w:rPr>
        <w:t>–</w:t>
      </w:r>
      <w:r w:rsidR="000249D1" w:rsidRPr="00FC23BA">
        <w:rPr>
          <w:rFonts w:cs="Helvetica"/>
          <w:szCs w:val="22"/>
        </w:rPr>
        <w:t xml:space="preserve"> February 2022</w:t>
      </w:r>
      <w:r w:rsidR="000249D1">
        <w:rPr>
          <w:rFonts w:cs="Helvetica"/>
          <w:szCs w:val="22"/>
        </w:rPr>
        <w:t xml:space="preserve">) </w:t>
      </w:r>
      <w:r w:rsidR="000249D1">
        <w:rPr>
          <w:szCs w:val="22"/>
          <w:lang w:eastAsia="en-AU"/>
        </w:rPr>
        <w:t xml:space="preserve">across </w:t>
      </w:r>
      <w:r w:rsidRPr="00FC23BA">
        <w:rPr>
          <w:szCs w:val="22"/>
          <w:lang w:eastAsia="en-AU"/>
        </w:rPr>
        <w:t>the disability advocacy sector in Australia</w:t>
      </w:r>
      <w:r w:rsidR="0035546A">
        <w:rPr>
          <w:szCs w:val="22"/>
          <w:lang w:eastAsia="en-AU"/>
        </w:rPr>
        <w:t>.</w:t>
      </w:r>
    </w:p>
    <w:p w14:paraId="2EDD10D2" w14:textId="77777777" w:rsidR="009F3C21" w:rsidRPr="002E5A0E" w:rsidRDefault="00525596" w:rsidP="007B736D">
      <w:pPr>
        <w:pStyle w:val="ListParagraph"/>
        <w:numPr>
          <w:ilvl w:val="0"/>
          <w:numId w:val="3"/>
        </w:numPr>
        <w:ind w:left="714" w:hanging="357"/>
        <w:contextualSpacing w:val="0"/>
        <w:rPr>
          <w:szCs w:val="22"/>
          <w:lang w:eastAsia="en-AU"/>
        </w:rPr>
      </w:pPr>
      <w:r w:rsidRPr="005A2C32">
        <w:rPr>
          <w:b/>
          <w:bCs/>
          <w:szCs w:val="22"/>
          <w:lang w:eastAsia="en-AU"/>
        </w:rPr>
        <w:t>Stakeholder discussion f</w:t>
      </w:r>
      <w:r w:rsidR="00234C04" w:rsidRPr="005A2C32">
        <w:rPr>
          <w:b/>
          <w:bCs/>
          <w:szCs w:val="22"/>
          <w:lang w:eastAsia="en-AU"/>
        </w:rPr>
        <w:t xml:space="preserve">orums </w:t>
      </w:r>
      <w:r w:rsidR="00234C04" w:rsidRPr="005A2C32">
        <w:rPr>
          <w:szCs w:val="22"/>
          <w:lang w:eastAsia="en-AU"/>
        </w:rPr>
        <w:t>and</w:t>
      </w:r>
      <w:r w:rsidR="00234C04" w:rsidRPr="005A2C32">
        <w:rPr>
          <w:b/>
          <w:bCs/>
          <w:szCs w:val="22"/>
          <w:lang w:eastAsia="en-AU"/>
        </w:rPr>
        <w:t xml:space="preserve"> </w:t>
      </w:r>
      <w:r w:rsidRPr="005A2C32">
        <w:rPr>
          <w:b/>
          <w:bCs/>
          <w:szCs w:val="22"/>
          <w:lang w:eastAsia="en-AU"/>
        </w:rPr>
        <w:t xml:space="preserve">individual </w:t>
      </w:r>
      <w:r w:rsidR="00234C04" w:rsidRPr="005A2C32">
        <w:rPr>
          <w:b/>
          <w:bCs/>
          <w:szCs w:val="22"/>
          <w:lang w:eastAsia="en-AU"/>
        </w:rPr>
        <w:t>interviews</w:t>
      </w:r>
      <w:r w:rsidR="00234C04" w:rsidRPr="005A2C32">
        <w:rPr>
          <w:szCs w:val="22"/>
          <w:lang w:eastAsia="en-AU"/>
        </w:rPr>
        <w:t xml:space="preserve"> with disability advocacy organisations, advocacy service users, and other similar sectors</w:t>
      </w:r>
      <w:r w:rsidR="005E627C" w:rsidRPr="005A2C32">
        <w:rPr>
          <w:rFonts w:ascii="Segoe UI" w:eastAsia="Times New Roman" w:hAnsi="Segoe UI" w:cs="Segoe UI"/>
          <w:sz w:val="18"/>
          <w:szCs w:val="18"/>
          <w:lang w:eastAsia="en-AU"/>
        </w:rPr>
        <w:t xml:space="preserve"> </w:t>
      </w:r>
      <w:r w:rsidR="005E627C" w:rsidRPr="005A2C32">
        <w:rPr>
          <w:rFonts w:eastAsia="Times New Roman" w:cs="Helvetica"/>
          <w:szCs w:val="22"/>
          <w:lang w:eastAsia="en-AU"/>
        </w:rPr>
        <w:t xml:space="preserve">such as </w:t>
      </w:r>
      <w:r w:rsidR="005E627C" w:rsidRPr="005A2C32">
        <w:rPr>
          <w:szCs w:val="22"/>
          <w:lang w:eastAsia="en-AU"/>
        </w:rPr>
        <w:t>financial counselling and community legal centres</w:t>
      </w:r>
      <w:r w:rsidR="007E384F" w:rsidRPr="005A2C32">
        <w:rPr>
          <w:szCs w:val="22"/>
          <w:lang w:eastAsia="en-AU"/>
        </w:rPr>
        <w:t xml:space="preserve"> </w:t>
      </w:r>
      <w:r w:rsidR="00234C04" w:rsidRPr="005A2C32">
        <w:rPr>
          <w:szCs w:val="22"/>
          <w:lang w:eastAsia="en-AU"/>
        </w:rPr>
        <w:t>to</w:t>
      </w:r>
      <w:r w:rsidR="00A51739" w:rsidRPr="005A2C32">
        <w:rPr>
          <w:szCs w:val="22"/>
          <w:lang w:eastAsia="en-AU"/>
        </w:rPr>
        <w:t xml:space="preserve"> </w:t>
      </w:r>
      <w:r w:rsidR="00A41352" w:rsidRPr="005A2C32">
        <w:rPr>
          <w:szCs w:val="22"/>
          <w:lang w:eastAsia="en-AU"/>
        </w:rPr>
        <w:t xml:space="preserve">gather a </w:t>
      </w:r>
      <w:r w:rsidR="00BD31C7" w:rsidRPr="005A2C32">
        <w:rPr>
          <w:szCs w:val="22"/>
          <w:lang w:eastAsia="en-AU"/>
        </w:rPr>
        <w:t xml:space="preserve">qualitative, </w:t>
      </w:r>
      <w:r w:rsidR="00A41352" w:rsidRPr="005A2C32">
        <w:rPr>
          <w:szCs w:val="22"/>
          <w:lang w:eastAsia="en-AU"/>
        </w:rPr>
        <w:t xml:space="preserve">multi-layered understanding of </w:t>
      </w:r>
      <w:r w:rsidR="00BD31C7" w:rsidRPr="005A2C32">
        <w:rPr>
          <w:szCs w:val="22"/>
          <w:lang w:eastAsia="en-AU"/>
        </w:rPr>
        <w:t xml:space="preserve">intake processes and </w:t>
      </w:r>
      <w:r w:rsidR="009F3C21">
        <w:rPr>
          <w:szCs w:val="22"/>
          <w:lang w:eastAsia="en-AU"/>
        </w:rPr>
        <w:t xml:space="preserve">to </w:t>
      </w:r>
      <w:r w:rsidR="00BD31C7" w:rsidRPr="005A2C32">
        <w:rPr>
          <w:szCs w:val="22"/>
          <w:lang w:eastAsia="en-AU"/>
        </w:rPr>
        <w:t xml:space="preserve">supplement </w:t>
      </w:r>
      <w:r w:rsidR="0035546A" w:rsidRPr="005A2C32">
        <w:rPr>
          <w:szCs w:val="22"/>
          <w:lang w:eastAsia="en-AU"/>
        </w:rPr>
        <w:t xml:space="preserve">the </w:t>
      </w:r>
      <w:r w:rsidR="009F3C21">
        <w:rPr>
          <w:szCs w:val="22"/>
          <w:lang w:eastAsia="en-AU"/>
        </w:rPr>
        <w:t xml:space="preserve">survey </w:t>
      </w:r>
      <w:r w:rsidR="0035546A" w:rsidRPr="005A2C32">
        <w:rPr>
          <w:szCs w:val="22"/>
          <w:lang w:eastAsia="en-AU"/>
        </w:rPr>
        <w:t>data.</w:t>
      </w:r>
      <w:r w:rsidR="005A2C32" w:rsidRPr="005A2C32">
        <w:rPr>
          <w:szCs w:val="22"/>
          <w:lang w:eastAsia="en-AU"/>
        </w:rPr>
        <w:t xml:space="preserve"> </w:t>
      </w:r>
    </w:p>
    <w:p w14:paraId="71DB1DEE" w14:textId="77777777" w:rsidR="00914E86" w:rsidRPr="00914E86" w:rsidRDefault="00E525C4" w:rsidP="002E5A0E">
      <w:pPr>
        <w:spacing w:before="160"/>
      </w:pPr>
      <w:r w:rsidRPr="009C219F">
        <w:rPr>
          <w:bCs/>
          <w:lang w:eastAsia="en-AU"/>
        </w:rPr>
        <w:t>A</w:t>
      </w:r>
      <w:r w:rsidR="00234C04" w:rsidRPr="009C219F">
        <w:rPr>
          <w:bCs/>
          <w:lang w:eastAsia="en-AU"/>
        </w:rPr>
        <w:t>n</w:t>
      </w:r>
      <w:r w:rsidR="00234C04" w:rsidRPr="007F0EB5">
        <w:rPr>
          <w:b/>
          <w:bCs/>
          <w:lang w:eastAsia="en-AU"/>
        </w:rPr>
        <w:t xml:space="preserve"> </w:t>
      </w:r>
      <w:r w:rsidR="00234C04" w:rsidRPr="006A0943">
        <w:rPr>
          <w:i/>
          <w:iCs/>
          <w:lang w:eastAsia="en-AU"/>
        </w:rPr>
        <w:t>Intake Reference Guide</w:t>
      </w:r>
      <w:r>
        <w:rPr>
          <w:b/>
          <w:bCs/>
          <w:lang w:eastAsia="en-AU"/>
        </w:rPr>
        <w:t xml:space="preserve"> </w:t>
      </w:r>
      <w:r w:rsidRPr="007F0EB5">
        <w:rPr>
          <w:lang w:eastAsia="en-AU"/>
        </w:rPr>
        <w:t>was</w:t>
      </w:r>
      <w:r w:rsidR="00234C04" w:rsidRPr="007F0EB5">
        <w:rPr>
          <w:lang w:eastAsia="en-AU"/>
        </w:rPr>
        <w:t xml:space="preserve"> co-designed with the disability advocacy sector, </w:t>
      </w:r>
      <w:r>
        <w:rPr>
          <w:lang w:eastAsia="en-AU"/>
        </w:rPr>
        <w:t xml:space="preserve">as a resource </w:t>
      </w:r>
      <w:r w:rsidR="00234C04" w:rsidRPr="007F0EB5">
        <w:rPr>
          <w:lang w:eastAsia="en-AU"/>
        </w:rPr>
        <w:t xml:space="preserve">to support sector </w:t>
      </w:r>
      <w:r w:rsidR="00A21232">
        <w:rPr>
          <w:lang w:eastAsia="en-AU"/>
        </w:rPr>
        <w:t xml:space="preserve">organisations </w:t>
      </w:r>
      <w:r>
        <w:rPr>
          <w:lang w:eastAsia="en-AU"/>
        </w:rPr>
        <w:t>in</w:t>
      </w:r>
      <w:r w:rsidRPr="007F0EB5">
        <w:rPr>
          <w:lang w:eastAsia="en-AU"/>
        </w:rPr>
        <w:t xml:space="preserve"> </w:t>
      </w:r>
      <w:r w:rsidR="00234C04" w:rsidRPr="007F0EB5">
        <w:rPr>
          <w:lang w:eastAsia="en-AU"/>
        </w:rPr>
        <w:t>manag</w:t>
      </w:r>
      <w:r>
        <w:rPr>
          <w:lang w:eastAsia="en-AU"/>
        </w:rPr>
        <w:t>ing</w:t>
      </w:r>
      <w:r w:rsidR="00234C04" w:rsidRPr="007F0EB5">
        <w:rPr>
          <w:lang w:eastAsia="en-AU"/>
        </w:rPr>
        <w:t xml:space="preserve"> service </w:t>
      </w:r>
      <w:r w:rsidR="00234C04" w:rsidRPr="000300F5">
        <w:rPr>
          <w:lang w:eastAsia="en-AU"/>
        </w:rPr>
        <w:t>demand.</w:t>
      </w:r>
      <w:r w:rsidR="000300F5">
        <w:rPr>
          <w:lang w:eastAsia="en-AU"/>
        </w:rPr>
        <w:t xml:space="preserve"> </w:t>
      </w:r>
    </w:p>
    <w:p w14:paraId="7E1824E6" w14:textId="77777777" w:rsidR="007530EC" w:rsidRPr="00E3687A" w:rsidRDefault="000249D1" w:rsidP="00D13B67">
      <w:pPr>
        <w:pStyle w:val="Heading3"/>
      </w:pPr>
      <w:bookmarkStart w:id="11" w:name="_Toc149667972"/>
      <w:r w:rsidRPr="00E3687A">
        <w:t>Online s</w:t>
      </w:r>
      <w:r w:rsidR="007530EC" w:rsidRPr="00E3687A">
        <w:t>u</w:t>
      </w:r>
      <w:r w:rsidR="0038741E" w:rsidRPr="00E3687A">
        <w:t>rvey</w:t>
      </w:r>
      <w:bookmarkEnd w:id="11"/>
    </w:p>
    <w:p w14:paraId="7F4C8C0E" w14:textId="3DA06E66" w:rsidR="000249D1" w:rsidRPr="00FC23BA" w:rsidRDefault="000249D1" w:rsidP="00037275">
      <w:r w:rsidRPr="00FC23BA">
        <w:t xml:space="preserve">The </w:t>
      </w:r>
      <w:r>
        <w:t xml:space="preserve">online </w:t>
      </w:r>
      <w:r w:rsidRPr="00FC23BA">
        <w:t xml:space="preserve">survey </w:t>
      </w:r>
      <w:r>
        <w:t xml:space="preserve">(via Survey Monkey) </w:t>
      </w:r>
      <w:r w:rsidR="000300F5" w:rsidRPr="00FC23BA">
        <w:t>was developed in consultation with the sector</w:t>
      </w:r>
      <w:r w:rsidR="000300F5">
        <w:t xml:space="preserve">. It was </w:t>
      </w:r>
      <w:r w:rsidR="000300F5" w:rsidRPr="008C5DD0">
        <w:t xml:space="preserve">designed </w:t>
      </w:r>
      <w:r w:rsidR="00525596" w:rsidRPr="008C5DD0">
        <w:t>with</w:t>
      </w:r>
      <w:r w:rsidRPr="008C5DD0">
        <w:t xml:space="preserve"> both quantitative and qualitative questions (</w:t>
      </w:r>
      <w:hyperlink w:anchor="_Attachment_1:_" w:history="1">
        <w:r w:rsidRPr="006D0C1C">
          <w:rPr>
            <w:rStyle w:val="Hyperlink"/>
          </w:rPr>
          <w:t>Attachment 1</w:t>
        </w:r>
      </w:hyperlink>
      <w:r w:rsidRPr="008C5DD0">
        <w:t>)</w:t>
      </w:r>
      <w:r w:rsidR="005A2C32" w:rsidRPr="008C5DD0">
        <w:t xml:space="preserve"> and circulated to</w:t>
      </w:r>
      <w:r w:rsidR="005A2C32" w:rsidRPr="005A2C32">
        <w:t xml:space="preserve"> 78 disability advocacy organisations nationally</w:t>
      </w:r>
      <w:r w:rsidRPr="005A2C32">
        <w:t>.</w:t>
      </w:r>
      <w:r>
        <w:t xml:space="preserve"> </w:t>
      </w:r>
    </w:p>
    <w:p w14:paraId="36A5E2B5" w14:textId="77777777" w:rsidR="000249D1" w:rsidRPr="009F3C21" w:rsidRDefault="00525596" w:rsidP="009F3C21">
      <w:pPr>
        <w:rPr>
          <w:b/>
          <w:bCs/>
          <w:szCs w:val="22"/>
        </w:rPr>
      </w:pPr>
      <w:r w:rsidRPr="009F3C21">
        <w:rPr>
          <w:b/>
          <w:bCs/>
          <w:szCs w:val="22"/>
        </w:rPr>
        <w:t>Q</w:t>
      </w:r>
      <w:r w:rsidR="00A21232" w:rsidRPr="009F3C21">
        <w:rPr>
          <w:b/>
          <w:bCs/>
          <w:szCs w:val="22"/>
        </w:rPr>
        <w:t xml:space="preserve">uantitative </w:t>
      </w:r>
      <w:r w:rsidR="000249D1" w:rsidRPr="009F3C21">
        <w:rPr>
          <w:b/>
          <w:bCs/>
          <w:szCs w:val="22"/>
        </w:rPr>
        <w:t>data</w:t>
      </w:r>
      <w:r w:rsidR="001F5A03">
        <w:rPr>
          <w:b/>
          <w:bCs/>
          <w:szCs w:val="22"/>
        </w:rPr>
        <w:t xml:space="preserve"> </w:t>
      </w:r>
      <w:r w:rsidR="001F5A03" w:rsidRPr="00085956">
        <w:rPr>
          <w:bCs/>
          <w:szCs w:val="22"/>
        </w:rPr>
        <w:t>collected included:</w:t>
      </w:r>
    </w:p>
    <w:p w14:paraId="14F709B5" w14:textId="77777777" w:rsidR="000249D1" w:rsidRDefault="00525596" w:rsidP="007B736D">
      <w:pPr>
        <w:pStyle w:val="ListParagraph"/>
        <w:numPr>
          <w:ilvl w:val="0"/>
          <w:numId w:val="21"/>
        </w:numPr>
        <w:ind w:left="714" w:hanging="357"/>
        <w:contextualSpacing w:val="0"/>
        <w:rPr>
          <w:szCs w:val="22"/>
          <w:lang w:eastAsia="en-AU"/>
        </w:rPr>
      </w:pPr>
      <w:r>
        <w:rPr>
          <w:szCs w:val="22"/>
          <w:lang w:eastAsia="en-AU"/>
        </w:rPr>
        <w:t>N</w:t>
      </w:r>
      <w:r w:rsidR="000249D1" w:rsidRPr="00AF02CD">
        <w:rPr>
          <w:szCs w:val="22"/>
          <w:lang w:eastAsia="en-AU"/>
        </w:rPr>
        <w:t>umber of people requesting advocacy assistance</w:t>
      </w:r>
      <w:r w:rsidR="00AE33D7">
        <w:rPr>
          <w:szCs w:val="22"/>
          <w:lang w:eastAsia="en-AU"/>
        </w:rPr>
        <w:t>.</w:t>
      </w:r>
    </w:p>
    <w:p w14:paraId="643C10F6" w14:textId="77777777" w:rsidR="000249D1" w:rsidRDefault="00525596" w:rsidP="007B736D">
      <w:pPr>
        <w:pStyle w:val="ListParagraph"/>
        <w:numPr>
          <w:ilvl w:val="0"/>
          <w:numId w:val="3"/>
        </w:numPr>
        <w:ind w:left="714" w:hanging="357"/>
        <w:contextualSpacing w:val="0"/>
        <w:rPr>
          <w:szCs w:val="22"/>
          <w:lang w:eastAsia="en-AU"/>
        </w:rPr>
      </w:pPr>
      <w:r>
        <w:rPr>
          <w:szCs w:val="22"/>
          <w:lang w:eastAsia="en-AU"/>
        </w:rPr>
        <w:t>N</w:t>
      </w:r>
      <w:r w:rsidR="000249D1" w:rsidRPr="00FC23BA">
        <w:rPr>
          <w:szCs w:val="22"/>
          <w:lang w:eastAsia="en-AU"/>
        </w:rPr>
        <w:t>umber of people with disability who became advocacy clients</w:t>
      </w:r>
      <w:r w:rsidR="00AE33D7">
        <w:rPr>
          <w:szCs w:val="22"/>
          <w:lang w:eastAsia="en-AU"/>
        </w:rPr>
        <w:t>.</w:t>
      </w:r>
    </w:p>
    <w:p w14:paraId="6F638DA6" w14:textId="77777777" w:rsidR="000249D1" w:rsidRPr="00FC23BA" w:rsidRDefault="00525596" w:rsidP="007B736D">
      <w:pPr>
        <w:pStyle w:val="ListParagraph"/>
        <w:numPr>
          <w:ilvl w:val="0"/>
          <w:numId w:val="3"/>
        </w:numPr>
        <w:ind w:left="714" w:hanging="357"/>
        <w:contextualSpacing w:val="0"/>
        <w:rPr>
          <w:szCs w:val="22"/>
          <w:lang w:eastAsia="en-AU"/>
        </w:rPr>
      </w:pPr>
      <w:r>
        <w:rPr>
          <w:szCs w:val="22"/>
          <w:lang w:eastAsia="en-AU"/>
        </w:rPr>
        <w:t>N</w:t>
      </w:r>
      <w:r w:rsidR="000249D1" w:rsidRPr="007E4949">
        <w:rPr>
          <w:szCs w:val="22"/>
          <w:lang w:eastAsia="en-AU"/>
        </w:rPr>
        <w:t>umber</w:t>
      </w:r>
      <w:r w:rsidR="000249D1" w:rsidRPr="00AF02CD">
        <w:rPr>
          <w:szCs w:val="22"/>
          <w:lang w:eastAsia="en-AU"/>
        </w:rPr>
        <w:t xml:space="preserve"> of people </w:t>
      </w:r>
      <w:r w:rsidR="000249D1">
        <w:rPr>
          <w:szCs w:val="22"/>
          <w:lang w:eastAsia="en-AU"/>
        </w:rPr>
        <w:t xml:space="preserve">who were </w:t>
      </w:r>
      <w:r w:rsidR="000249D1" w:rsidRPr="00FC23BA">
        <w:rPr>
          <w:szCs w:val="22"/>
          <w:lang w:eastAsia="en-AU"/>
        </w:rPr>
        <w:t>provided information</w:t>
      </w:r>
      <w:r w:rsidR="007B643D">
        <w:rPr>
          <w:szCs w:val="22"/>
          <w:lang w:eastAsia="en-AU"/>
        </w:rPr>
        <w:t xml:space="preserve"> </w:t>
      </w:r>
      <w:r w:rsidR="000249D1" w:rsidRPr="00FC23BA">
        <w:rPr>
          <w:szCs w:val="22"/>
          <w:lang w:eastAsia="en-AU"/>
        </w:rPr>
        <w:t>and did not become an advocacy client</w:t>
      </w:r>
      <w:r w:rsidR="00AE33D7">
        <w:rPr>
          <w:szCs w:val="22"/>
          <w:lang w:eastAsia="en-AU"/>
        </w:rPr>
        <w:t>.</w:t>
      </w:r>
    </w:p>
    <w:p w14:paraId="593E02CD" w14:textId="77777777" w:rsidR="000249D1" w:rsidRPr="00FC23BA" w:rsidRDefault="00525596" w:rsidP="007B736D">
      <w:pPr>
        <w:pStyle w:val="ListParagraph"/>
        <w:numPr>
          <w:ilvl w:val="0"/>
          <w:numId w:val="3"/>
        </w:numPr>
        <w:ind w:left="714" w:hanging="357"/>
        <w:contextualSpacing w:val="0"/>
        <w:rPr>
          <w:szCs w:val="22"/>
          <w:lang w:eastAsia="en-AU"/>
        </w:rPr>
      </w:pPr>
      <w:r>
        <w:rPr>
          <w:szCs w:val="22"/>
          <w:lang w:eastAsia="en-AU"/>
        </w:rPr>
        <w:t>N</w:t>
      </w:r>
      <w:r w:rsidR="000249D1" w:rsidRPr="00FC23BA">
        <w:rPr>
          <w:szCs w:val="22"/>
          <w:lang w:eastAsia="en-AU"/>
        </w:rPr>
        <w:t>umber of people on a wait list at the end of the month</w:t>
      </w:r>
      <w:r w:rsidR="00AE33D7">
        <w:rPr>
          <w:szCs w:val="22"/>
          <w:lang w:eastAsia="en-AU"/>
        </w:rPr>
        <w:t>.</w:t>
      </w:r>
    </w:p>
    <w:p w14:paraId="3AFE6916" w14:textId="77777777" w:rsidR="000249D1" w:rsidRPr="00730919" w:rsidRDefault="00525596" w:rsidP="007B736D">
      <w:pPr>
        <w:pStyle w:val="ListParagraph"/>
        <w:numPr>
          <w:ilvl w:val="0"/>
          <w:numId w:val="3"/>
        </w:numPr>
        <w:ind w:left="714" w:hanging="357"/>
        <w:contextualSpacing w:val="0"/>
        <w:rPr>
          <w:szCs w:val="22"/>
          <w:lang w:eastAsia="en-AU"/>
        </w:rPr>
      </w:pPr>
      <w:r>
        <w:rPr>
          <w:szCs w:val="22"/>
          <w:lang w:eastAsia="en-AU"/>
        </w:rPr>
        <w:t>N</w:t>
      </w:r>
      <w:r w:rsidR="000249D1" w:rsidRPr="00FC23BA">
        <w:rPr>
          <w:szCs w:val="22"/>
          <w:lang w:eastAsia="en-AU"/>
        </w:rPr>
        <w:t>umber of people with disability who couldn’t become advocacy clients due to lack of capacity within the organisation</w:t>
      </w:r>
      <w:r w:rsidR="00AE33D7">
        <w:rPr>
          <w:szCs w:val="22"/>
          <w:lang w:eastAsia="en-AU"/>
        </w:rPr>
        <w:t>.</w:t>
      </w:r>
    </w:p>
    <w:p w14:paraId="4D123913" w14:textId="77777777" w:rsidR="000249D1" w:rsidRPr="00FC23BA" w:rsidRDefault="00525596" w:rsidP="007B736D">
      <w:pPr>
        <w:pStyle w:val="ListParagraph"/>
        <w:numPr>
          <w:ilvl w:val="0"/>
          <w:numId w:val="3"/>
        </w:numPr>
        <w:ind w:left="714" w:hanging="357"/>
        <w:contextualSpacing w:val="0"/>
        <w:rPr>
          <w:szCs w:val="22"/>
          <w:lang w:eastAsia="en-AU"/>
        </w:rPr>
      </w:pPr>
      <w:r>
        <w:rPr>
          <w:szCs w:val="22"/>
          <w:lang w:eastAsia="en-AU"/>
        </w:rPr>
        <w:t>N</w:t>
      </w:r>
      <w:r w:rsidR="000249D1" w:rsidRPr="00FC23BA">
        <w:rPr>
          <w:szCs w:val="22"/>
          <w:lang w:eastAsia="en-AU"/>
        </w:rPr>
        <w:t xml:space="preserve">umber of advocacy hours provided, both individual </w:t>
      </w:r>
      <w:r w:rsidR="00A21232">
        <w:rPr>
          <w:szCs w:val="22"/>
          <w:lang w:eastAsia="en-AU"/>
        </w:rPr>
        <w:t xml:space="preserve">client </w:t>
      </w:r>
      <w:r w:rsidR="00714D87">
        <w:rPr>
          <w:szCs w:val="22"/>
          <w:lang w:eastAsia="en-AU"/>
        </w:rPr>
        <w:t xml:space="preserve">advocacy </w:t>
      </w:r>
      <w:r w:rsidR="000249D1" w:rsidRPr="00FC23BA">
        <w:rPr>
          <w:szCs w:val="22"/>
          <w:lang w:eastAsia="en-AU"/>
        </w:rPr>
        <w:t>and systemic.</w:t>
      </w:r>
      <w:r w:rsidR="00331684">
        <w:rPr>
          <w:rStyle w:val="FootnoteReference"/>
          <w:szCs w:val="22"/>
          <w:lang w:eastAsia="en-AU"/>
        </w:rPr>
        <w:footnoteReference w:id="5"/>
      </w:r>
    </w:p>
    <w:p w14:paraId="4F245DB3" w14:textId="77777777" w:rsidR="009F3C21" w:rsidRDefault="00A21232" w:rsidP="008025A9">
      <w:pPr>
        <w:spacing w:before="240"/>
      </w:pPr>
      <w:r w:rsidRPr="009F3C21">
        <w:rPr>
          <w:b/>
          <w:bCs/>
        </w:rPr>
        <w:t>Qualitative data</w:t>
      </w:r>
      <w:r>
        <w:t xml:space="preserve"> </w:t>
      </w:r>
      <w:r w:rsidR="005A2C32">
        <w:t>via</w:t>
      </w:r>
      <w:r w:rsidR="00525596">
        <w:t xml:space="preserve"> open ended questions </w:t>
      </w:r>
      <w:r>
        <w:t xml:space="preserve">regarding factors impacting waiting times and other comments on the </w:t>
      </w:r>
      <w:r w:rsidR="005A2C32">
        <w:t xml:space="preserve">reported </w:t>
      </w:r>
      <w:r>
        <w:t xml:space="preserve">quantitative data. </w:t>
      </w:r>
    </w:p>
    <w:p w14:paraId="412B8706" w14:textId="77777777" w:rsidR="009F3C21" w:rsidRPr="00FC23BA" w:rsidRDefault="009F3C21" w:rsidP="00037275">
      <w:r>
        <w:rPr>
          <w:rFonts w:eastAsia="Times New Roman"/>
          <w:lang w:eastAsia="en-AU"/>
        </w:rPr>
        <w:t>The survey aimed</w:t>
      </w:r>
      <w:r w:rsidRPr="00FC23BA">
        <w:rPr>
          <w:rFonts w:eastAsia="Times New Roman"/>
          <w:lang w:eastAsia="en-AU"/>
        </w:rPr>
        <w:t xml:space="preserve"> to </w:t>
      </w:r>
      <w:r>
        <w:rPr>
          <w:rFonts w:eastAsia="Times New Roman"/>
          <w:lang w:eastAsia="en-AU"/>
        </w:rPr>
        <w:t xml:space="preserve">optimise organisational input and to optimise representation of </w:t>
      </w:r>
      <w:r w:rsidRPr="00FC23BA">
        <w:rPr>
          <w:rFonts w:eastAsia="Times New Roman"/>
          <w:lang w:eastAsia="en-AU"/>
        </w:rPr>
        <w:t>the disability advocacy sector to gather an accurate picture of unmet demand</w:t>
      </w:r>
      <w:r>
        <w:rPr>
          <w:rFonts w:eastAsia="Times New Roman"/>
          <w:lang w:eastAsia="en-AU"/>
        </w:rPr>
        <w:t xml:space="preserve"> and capacity issues</w:t>
      </w:r>
      <w:r w:rsidRPr="00525596">
        <w:rPr>
          <w:rFonts w:eastAsia="Times New Roman"/>
          <w:lang w:eastAsia="en-AU"/>
        </w:rPr>
        <w:t>.</w:t>
      </w:r>
      <w:r>
        <w:rPr>
          <w:rFonts w:eastAsia="Times New Roman"/>
          <w:lang w:eastAsia="en-AU"/>
        </w:rPr>
        <w:t xml:space="preserve"> </w:t>
      </w:r>
    </w:p>
    <w:p w14:paraId="0297B725" w14:textId="35CF9A7E" w:rsidR="00557F73" w:rsidRPr="0018271F" w:rsidRDefault="00A21232" w:rsidP="00037275">
      <w:r>
        <w:t>During</w:t>
      </w:r>
      <w:r w:rsidR="000249D1" w:rsidRPr="00FC23BA">
        <w:t xml:space="preserve"> the </w:t>
      </w:r>
      <w:r w:rsidR="000249D1">
        <w:t>6</w:t>
      </w:r>
      <w:r w:rsidR="008025A9">
        <w:t>-</w:t>
      </w:r>
      <w:r w:rsidR="000249D1">
        <w:t xml:space="preserve">month </w:t>
      </w:r>
      <w:r w:rsidR="007B736D">
        <w:t>I</w:t>
      </w:r>
      <w:r w:rsidR="000249D1" w:rsidRPr="00FC23BA">
        <w:t xml:space="preserve">ntake </w:t>
      </w:r>
      <w:r w:rsidR="007B736D">
        <w:t>S</w:t>
      </w:r>
      <w:r w:rsidR="000249D1" w:rsidRPr="00FC23BA">
        <w:t>urvey period</w:t>
      </w:r>
      <w:r w:rsidR="000249D1">
        <w:t xml:space="preserve"> (</w:t>
      </w:r>
      <w:r w:rsidR="000249D1" w:rsidRPr="00FC23BA">
        <w:t>September 2021</w:t>
      </w:r>
      <w:r w:rsidR="008025A9">
        <w:t xml:space="preserve"> </w:t>
      </w:r>
      <w:r w:rsidR="005551E6">
        <w:t>–</w:t>
      </w:r>
      <w:r w:rsidR="000249D1" w:rsidRPr="00FC23BA">
        <w:t xml:space="preserve"> February 2022</w:t>
      </w:r>
      <w:r w:rsidR="000249D1">
        <w:t>)</w:t>
      </w:r>
      <w:r w:rsidR="000249D1" w:rsidRPr="00FC23BA">
        <w:t xml:space="preserve">, </w:t>
      </w:r>
      <w:r w:rsidR="00E37C0C">
        <w:t>39</w:t>
      </w:r>
      <w:r w:rsidR="0018271F">
        <w:t xml:space="preserve"> </w:t>
      </w:r>
      <w:r w:rsidR="000249D1" w:rsidRPr="00FC23BA">
        <w:t>responding organisations</w:t>
      </w:r>
      <w:r w:rsidR="0018271F">
        <w:t xml:space="preserve"> (</w:t>
      </w:r>
      <w:r w:rsidR="0018271F" w:rsidRPr="008E1E28">
        <w:t>50% of the disability advocacy sector nationwide</w:t>
      </w:r>
      <w:r w:rsidR="0018271F">
        <w:t xml:space="preserve">) </w:t>
      </w:r>
      <w:r w:rsidR="000249D1" w:rsidRPr="00FC23BA">
        <w:t xml:space="preserve">provided monthly </w:t>
      </w:r>
      <w:r>
        <w:t xml:space="preserve">data </w:t>
      </w:r>
      <w:r w:rsidR="000249D1" w:rsidRPr="00FC23BA">
        <w:rPr>
          <w:rFonts w:eastAsia="Times New Roman"/>
          <w:lang w:eastAsia="en-AU"/>
        </w:rPr>
        <w:t xml:space="preserve">captured retrospectively. </w:t>
      </w:r>
      <w:r w:rsidR="009C219F">
        <w:t>T</w:t>
      </w:r>
      <w:r w:rsidR="000249D1" w:rsidRPr="0018271F">
        <w:t xml:space="preserve">he respondent sample </w:t>
      </w:r>
      <w:r w:rsidRPr="0018271F">
        <w:t xml:space="preserve">provided a representative snapshot of the sector </w:t>
      </w:r>
      <w:r w:rsidR="0034394E">
        <w:t>as it included</w:t>
      </w:r>
      <w:r w:rsidR="0034394E" w:rsidRPr="0018271F">
        <w:t xml:space="preserve"> </w:t>
      </w:r>
      <w:r w:rsidR="00F51040">
        <w:t xml:space="preserve">multiple </w:t>
      </w:r>
      <w:r w:rsidR="000249D1" w:rsidRPr="0018271F">
        <w:t>organisations from each state and territory, as well as different types of advocacy organisations (size, general or specialist service)</w:t>
      </w:r>
      <w:r w:rsidRPr="0018271F">
        <w:t>.</w:t>
      </w:r>
      <w:r w:rsidR="00AE2AFD" w:rsidRPr="0018271F">
        <w:t xml:space="preserve"> </w:t>
      </w:r>
    </w:p>
    <w:p w14:paraId="1159B75F" w14:textId="77777777" w:rsidR="005C0945" w:rsidRPr="00E3687A" w:rsidRDefault="0038741E" w:rsidP="00D13B67">
      <w:pPr>
        <w:pStyle w:val="Heading3"/>
      </w:pPr>
      <w:bookmarkStart w:id="12" w:name="_Toc149667973"/>
      <w:r w:rsidRPr="00E3687A">
        <w:t>Forums</w:t>
      </w:r>
      <w:bookmarkEnd w:id="12"/>
    </w:p>
    <w:p w14:paraId="1CA0CD6E" w14:textId="77777777" w:rsidR="00550A1F" w:rsidRDefault="00F7331F" w:rsidP="00037275">
      <w:pPr>
        <w:rPr>
          <w:lang w:eastAsia="en-AU"/>
        </w:rPr>
      </w:pPr>
      <w:r w:rsidRPr="00FC23BA">
        <w:rPr>
          <w:lang w:eastAsia="en-AU"/>
        </w:rPr>
        <w:t xml:space="preserve">DANA </w:t>
      </w:r>
      <w:r w:rsidR="00525596">
        <w:rPr>
          <w:lang w:eastAsia="en-AU"/>
        </w:rPr>
        <w:t>facilitated</w:t>
      </w:r>
      <w:r w:rsidRPr="00FC23BA">
        <w:rPr>
          <w:lang w:eastAsia="en-AU"/>
        </w:rPr>
        <w:t xml:space="preserve"> </w:t>
      </w:r>
      <w:r w:rsidR="001F29F5">
        <w:rPr>
          <w:lang w:eastAsia="en-AU"/>
        </w:rPr>
        <w:t xml:space="preserve">a series of online </w:t>
      </w:r>
      <w:r w:rsidR="00BD3ABC">
        <w:rPr>
          <w:lang w:eastAsia="en-AU"/>
        </w:rPr>
        <w:t xml:space="preserve">discussion </w:t>
      </w:r>
      <w:r w:rsidRPr="00FC23BA">
        <w:rPr>
          <w:lang w:eastAsia="en-AU"/>
        </w:rPr>
        <w:t xml:space="preserve">forums in each state and territory </w:t>
      </w:r>
      <w:r w:rsidR="001F29F5">
        <w:rPr>
          <w:lang w:eastAsia="en-AU"/>
        </w:rPr>
        <w:t>during</w:t>
      </w:r>
      <w:r w:rsidR="001F29F5" w:rsidRPr="00FC23BA">
        <w:rPr>
          <w:lang w:eastAsia="en-AU"/>
        </w:rPr>
        <w:t xml:space="preserve"> the Intake Project</w:t>
      </w:r>
      <w:r w:rsidR="001F29F5">
        <w:rPr>
          <w:lang w:eastAsia="en-AU"/>
        </w:rPr>
        <w:t xml:space="preserve"> </w:t>
      </w:r>
      <w:r w:rsidR="00BD3ABC">
        <w:rPr>
          <w:lang w:eastAsia="en-AU"/>
        </w:rPr>
        <w:t>with a two-fold purpos</w:t>
      </w:r>
      <w:r w:rsidR="00785977">
        <w:rPr>
          <w:lang w:eastAsia="en-AU"/>
        </w:rPr>
        <w:t xml:space="preserve">e; </w:t>
      </w:r>
      <w:r w:rsidR="00BD3ABC" w:rsidRPr="00525596">
        <w:rPr>
          <w:lang w:eastAsia="en-AU"/>
        </w:rPr>
        <w:t xml:space="preserve">to gather qualitative data to augment </w:t>
      </w:r>
      <w:r w:rsidR="00525596">
        <w:rPr>
          <w:lang w:eastAsia="en-AU"/>
        </w:rPr>
        <w:t xml:space="preserve">the survey </w:t>
      </w:r>
      <w:r w:rsidR="00BD3ABC" w:rsidRPr="00525596">
        <w:rPr>
          <w:lang w:eastAsia="en-AU"/>
        </w:rPr>
        <w:t>findings</w:t>
      </w:r>
      <w:r w:rsidR="00785977">
        <w:rPr>
          <w:lang w:eastAsia="en-AU"/>
        </w:rPr>
        <w:t xml:space="preserve">; </w:t>
      </w:r>
      <w:r w:rsidR="00BD3ABC" w:rsidRPr="00525596">
        <w:rPr>
          <w:lang w:eastAsia="en-AU"/>
        </w:rPr>
        <w:t xml:space="preserve">and to contribute to co-design of the </w:t>
      </w:r>
      <w:r w:rsidR="00BD3ABC" w:rsidRPr="00785977">
        <w:rPr>
          <w:i/>
          <w:iCs/>
          <w:lang w:eastAsia="en-AU"/>
        </w:rPr>
        <w:t>Intake Reference Guide</w:t>
      </w:r>
      <w:r w:rsidR="00BD3ABC" w:rsidRPr="00525596">
        <w:rPr>
          <w:lang w:eastAsia="en-AU"/>
        </w:rPr>
        <w:t xml:space="preserve">. </w:t>
      </w:r>
    </w:p>
    <w:p w14:paraId="39DC8271" w14:textId="41E8D784" w:rsidR="001F29F5" w:rsidRPr="00525596" w:rsidRDefault="00525596" w:rsidP="00037275">
      <w:pPr>
        <w:rPr>
          <w:lang w:eastAsia="en-AU"/>
        </w:rPr>
      </w:pPr>
      <w:r w:rsidRPr="00525596">
        <w:rPr>
          <w:lang w:eastAsia="en-AU"/>
        </w:rPr>
        <w:lastRenderedPageBreak/>
        <w:t>The forums</w:t>
      </w:r>
      <w:r w:rsidR="00F7331F" w:rsidRPr="00525596">
        <w:rPr>
          <w:lang w:eastAsia="en-AU"/>
        </w:rPr>
        <w:t xml:space="preserve"> </w:t>
      </w:r>
      <w:r>
        <w:rPr>
          <w:lang w:eastAsia="en-AU"/>
        </w:rPr>
        <w:t>were in two rounds</w:t>
      </w:r>
      <w:r w:rsidR="005551E6">
        <w:rPr>
          <w:rFonts w:ascii="Georgia" w:hAnsi="Georgia"/>
          <w:lang w:eastAsia="en-AU"/>
        </w:rPr>
        <w:t>—</w:t>
      </w:r>
      <w:r w:rsidR="00F7331F" w:rsidRPr="00525596">
        <w:rPr>
          <w:lang w:eastAsia="en-AU"/>
        </w:rPr>
        <w:t xml:space="preserve">the first on </w:t>
      </w:r>
      <w:r w:rsidR="00F7331F" w:rsidRPr="009C219F">
        <w:rPr>
          <w:bCs/>
          <w:lang w:eastAsia="en-AU"/>
        </w:rPr>
        <w:t>intake</w:t>
      </w:r>
      <w:r w:rsidR="00BD3ABC" w:rsidRPr="009C219F">
        <w:rPr>
          <w:bCs/>
          <w:lang w:eastAsia="en-AU"/>
        </w:rPr>
        <w:t xml:space="preserve"> prioritisation</w:t>
      </w:r>
      <w:r w:rsidR="00BD3ABC" w:rsidRPr="009C219F">
        <w:rPr>
          <w:lang w:eastAsia="en-AU"/>
        </w:rPr>
        <w:t xml:space="preserve"> and </w:t>
      </w:r>
      <w:r w:rsidR="00BD3ABC" w:rsidRPr="009C219F">
        <w:rPr>
          <w:bCs/>
          <w:lang w:eastAsia="en-AU"/>
        </w:rPr>
        <w:t>demand management</w:t>
      </w:r>
      <w:r w:rsidR="00F7331F" w:rsidRPr="009C219F">
        <w:rPr>
          <w:lang w:eastAsia="en-AU"/>
        </w:rPr>
        <w:t xml:space="preserve"> processes, and the second on </w:t>
      </w:r>
      <w:r w:rsidR="00F7331F" w:rsidRPr="009C219F">
        <w:rPr>
          <w:bCs/>
          <w:lang w:eastAsia="en-AU"/>
        </w:rPr>
        <w:t>referral processes</w:t>
      </w:r>
      <w:r w:rsidR="00F7331F" w:rsidRPr="009C219F">
        <w:rPr>
          <w:lang w:eastAsia="en-AU"/>
        </w:rPr>
        <w:t>.</w:t>
      </w:r>
      <w:r>
        <w:rPr>
          <w:rStyle w:val="FootnoteReference"/>
          <w:rFonts w:eastAsia="Times New Roman" w:cs="Helvetica"/>
          <w:szCs w:val="22"/>
          <w:lang w:eastAsia="en-AU"/>
        </w:rPr>
        <w:footnoteReference w:id="6"/>
      </w:r>
    </w:p>
    <w:p w14:paraId="5B850C1B" w14:textId="31354830" w:rsidR="009C0D25" w:rsidRDefault="00F7331F" w:rsidP="00037275">
      <w:pPr>
        <w:rPr>
          <w:lang w:eastAsia="en-AU"/>
        </w:rPr>
      </w:pPr>
      <w:r w:rsidRPr="00FC23BA">
        <w:rPr>
          <w:lang w:eastAsia="en-AU"/>
        </w:rPr>
        <w:t>The</w:t>
      </w:r>
      <w:r w:rsidR="001F29F5">
        <w:rPr>
          <w:lang w:eastAsia="en-AU"/>
        </w:rPr>
        <w:t xml:space="preserve"> </w:t>
      </w:r>
      <w:r w:rsidR="001F29F5" w:rsidRPr="00FC23BA">
        <w:rPr>
          <w:lang w:eastAsia="en-AU"/>
        </w:rPr>
        <w:t>forums were well attended</w:t>
      </w:r>
      <w:r w:rsidR="000A4846">
        <w:rPr>
          <w:lang w:eastAsia="en-AU"/>
        </w:rPr>
        <w:t xml:space="preserve">, </w:t>
      </w:r>
      <w:r w:rsidR="000300F5">
        <w:rPr>
          <w:lang w:eastAsia="en-AU"/>
        </w:rPr>
        <w:t>with 10-15 participants in each</w:t>
      </w:r>
      <w:r w:rsidR="009C219F">
        <w:rPr>
          <w:lang w:eastAsia="en-AU"/>
        </w:rPr>
        <w:t xml:space="preserve"> and</w:t>
      </w:r>
      <w:r w:rsidR="000300F5">
        <w:rPr>
          <w:lang w:eastAsia="en-AU"/>
        </w:rPr>
        <w:t xml:space="preserve"> involv</w:t>
      </w:r>
      <w:r w:rsidR="00D30F87">
        <w:rPr>
          <w:lang w:eastAsia="en-AU"/>
        </w:rPr>
        <w:t>ed</w:t>
      </w:r>
      <w:r w:rsidR="000300F5">
        <w:rPr>
          <w:lang w:eastAsia="en-AU"/>
        </w:rPr>
        <w:t xml:space="preserve"> </w:t>
      </w:r>
      <w:r w:rsidR="000A4846">
        <w:rPr>
          <w:lang w:eastAsia="en-AU"/>
        </w:rPr>
        <w:t>a total of 110</w:t>
      </w:r>
      <w:r w:rsidR="005551E6">
        <w:rPr>
          <w:lang w:eastAsia="en-AU"/>
        </w:rPr>
        <w:t> </w:t>
      </w:r>
      <w:r w:rsidR="000A4846">
        <w:rPr>
          <w:lang w:eastAsia="en-AU"/>
        </w:rPr>
        <w:t>advocates</w:t>
      </w:r>
      <w:r w:rsidR="00BA6BE0">
        <w:rPr>
          <w:lang w:eastAsia="en-AU"/>
        </w:rPr>
        <w:t xml:space="preserve"> representing </w:t>
      </w:r>
      <w:r w:rsidR="007F271C">
        <w:rPr>
          <w:lang w:eastAsia="en-AU"/>
        </w:rPr>
        <w:t xml:space="preserve">51 disability advocacy </w:t>
      </w:r>
      <w:r w:rsidR="00DF268F">
        <w:rPr>
          <w:lang w:eastAsia="en-AU"/>
        </w:rPr>
        <w:t>organisations</w:t>
      </w:r>
      <w:r w:rsidR="009C219F">
        <w:rPr>
          <w:lang w:eastAsia="en-AU"/>
        </w:rPr>
        <w:t>,</w:t>
      </w:r>
      <w:r w:rsidR="000A4846">
        <w:rPr>
          <w:lang w:eastAsia="en-AU"/>
        </w:rPr>
        <w:t xml:space="preserve"> reflecting</w:t>
      </w:r>
      <w:r w:rsidR="001F29F5">
        <w:rPr>
          <w:lang w:eastAsia="en-AU"/>
        </w:rPr>
        <w:t xml:space="preserve"> </w:t>
      </w:r>
      <w:r w:rsidR="00E719D1">
        <w:rPr>
          <w:lang w:eastAsia="en-AU"/>
        </w:rPr>
        <w:t>strong</w:t>
      </w:r>
      <w:r w:rsidRPr="00FC23BA">
        <w:rPr>
          <w:lang w:eastAsia="en-AU"/>
        </w:rPr>
        <w:t xml:space="preserve"> </w:t>
      </w:r>
      <w:r w:rsidR="000A4846">
        <w:rPr>
          <w:lang w:eastAsia="en-AU"/>
        </w:rPr>
        <w:t xml:space="preserve">sector </w:t>
      </w:r>
      <w:r w:rsidRPr="00FC23BA">
        <w:rPr>
          <w:lang w:eastAsia="en-AU"/>
        </w:rPr>
        <w:t>interest in the</w:t>
      </w:r>
      <w:r w:rsidR="001F29F5">
        <w:rPr>
          <w:lang w:eastAsia="en-AU"/>
        </w:rPr>
        <w:t xml:space="preserve"> </w:t>
      </w:r>
      <w:r w:rsidRPr="00FC23BA">
        <w:rPr>
          <w:lang w:eastAsia="en-AU"/>
        </w:rPr>
        <w:t>discussions</w:t>
      </w:r>
      <w:r w:rsidR="001F29F5">
        <w:rPr>
          <w:lang w:eastAsia="en-AU"/>
        </w:rPr>
        <w:t>.</w:t>
      </w:r>
      <w:r w:rsidRPr="00FC23BA">
        <w:rPr>
          <w:lang w:eastAsia="en-AU"/>
        </w:rPr>
        <w:t xml:space="preserve"> </w:t>
      </w:r>
      <w:r w:rsidR="001F29F5">
        <w:rPr>
          <w:lang w:eastAsia="en-AU"/>
        </w:rPr>
        <w:t>It</w:t>
      </w:r>
      <w:r w:rsidRPr="00FC23BA">
        <w:rPr>
          <w:lang w:eastAsia="en-AU"/>
        </w:rPr>
        <w:t xml:space="preserve"> provided the opportunity </w:t>
      </w:r>
      <w:r w:rsidR="001F29F5">
        <w:rPr>
          <w:lang w:eastAsia="en-AU"/>
        </w:rPr>
        <w:t xml:space="preserve">for organisations </w:t>
      </w:r>
      <w:r w:rsidRPr="00FC23BA">
        <w:rPr>
          <w:lang w:eastAsia="en-AU"/>
        </w:rPr>
        <w:t>to share ideas</w:t>
      </w:r>
      <w:r w:rsidR="00BD3ABC">
        <w:rPr>
          <w:lang w:eastAsia="en-AU"/>
        </w:rPr>
        <w:t>, current practice</w:t>
      </w:r>
      <w:r w:rsidRPr="00FC23BA">
        <w:rPr>
          <w:lang w:eastAsia="en-AU"/>
        </w:rPr>
        <w:t xml:space="preserve"> and </w:t>
      </w:r>
      <w:r w:rsidR="00BD3ABC">
        <w:rPr>
          <w:lang w:eastAsia="en-AU"/>
        </w:rPr>
        <w:t xml:space="preserve">to </w:t>
      </w:r>
      <w:r w:rsidR="00AE2AFD">
        <w:rPr>
          <w:lang w:eastAsia="en-AU"/>
        </w:rPr>
        <w:t>strengthen</w:t>
      </w:r>
      <w:r w:rsidRPr="00FC23BA">
        <w:rPr>
          <w:lang w:eastAsia="en-AU"/>
        </w:rPr>
        <w:t xml:space="preserve"> </w:t>
      </w:r>
      <w:r w:rsidR="00AE2AFD">
        <w:rPr>
          <w:lang w:eastAsia="en-AU"/>
        </w:rPr>
        <w:t>sector</w:t>
      </w:r>
      <w:r w:rsidRPr="00FC23BA">
        <w:rPr>
          <w:lang w:eastAsia="en-AU"/>
        </w:rPr>
        <w:t xml:space="preserve"> connections. </w:t>
      </w:r>
    </w:p>
    <w:p w14:paraId="1A2E4698" w14:textId="77777777" w:rsidR="00E13748" w:rsidRPr="00E3687A" w:rsidRDefault="0038741E" w:rsidP="00D13B67">
      <w:pPr>
        <w:pStyle w:val="Heading3"/>
      </w:pPr>
      <w:bookmarkStart w:id="13" w:name="_Toc149667974"/>
      <w:r w:rsidRPr="00E3687A">
        <w:t>Interviews</w:t>
      </w:r>
      <w:bookmarkEnd w:id="13"/>
    </w:p>
    <w:p w14:paraId="7C570670" w14:textId="77777777" w:rsidR="00BD3ABC" w:rsidRDefault="001F29F5" w:rsidP="00037275">
      <w:pPr>
        <w:rPr>
          <w:lang w:eastAsia="en-AU"/>
        </w:rPr>
      </w:pPr>
      <w:r>
        <w:rPr>
          <w:lang w:eastAsia="en-AU"/>
        </w:rPr>
        <w:t xml:space="preserve">Online </w:t>
      </w:r>
      <w:r w:rsidR="00BD3ABC" w:rsidRPr="00525596">
        <w:rPr>
          <w:lang w:eastAsia="en-AU"/>
        </w:rPr>
        <w:t xml:space="preserve">semi-structured </w:t>
      </w:r>
      <w:r w:rsidRPr="00525596">
        <w:rPr>
          <w:lang w:eastAsia="en-AU"/>
        </w:rPr>
        <w:t>i</w:t>
      </w:r>
      <w:r w:rsidR="00736A71" w:rsidRPr="00525596">
        <w:rPr>
          <w:lang w:eastAsia="en-AU"/>
        </w:rPr>
        <w:t xml:space="preserve">nterviews </w:t>
      </w:r>
      <w:r w:rsidR="00736A71" w:rsidRPr="00FC23BA">
        <w:rPr>
          <w:lang w:eastAsia="en-AU"/>
        </w:rPr>
        <w:t>were held with</w:t>
      </w:r>
      <w:r w:rsidR="000A4846">
        <w:rPr>
          <w:lang w:eastAsia="en-AU"/>
        </w:rPr>
        <w:t xml:space="preserve"> 29 stakeholders</w:t>
      </w:r>
      <w:r w:rsidR="00525596">
        <w:rPr>
          <w:lang w:eastAsia="en-AU"/>
        </w:rPr>
        <w:t xml:space="preserve"> using an interview instrument that was consistent with the </w:t>
      </w:r>
      <w:r w:rsidR="00557F73">
        <w:rPr>
          <w:lang w:eastAsia="en-AU"/>
        </w:rPr>
        <w:t xml:space="preserve">questions </w:t>
      </w:r>
      <w:r w:rsidR="00BA654C">
        <w:rPr>
          <w:lang w:eastAsia="en-AU"/>
        </w:rPr>
        <w:t>used in</w:t>
      </w:r>
      <w:r w:rsidR="00557F73">
        <w:rPr>
          <w:lang w:eastAsia="en-AU"/>
        </w:rPr>
        <w:t xml:space="preserve"> </w:t>
      </w:r>
      <w:r w:rsidR="00525596">
        <w:rPr>
          <w:lang w:eastAsia="en-AU"/>
        </w:rPr>
        <w:t>forum</w:t>
      </w:r>
      <w:r w:rsidR="00557F73">
        <w:rPr>
          <w:lang w:eastAsia="en-AU"/>
        </w:rPr>
        <w:t xml:space="preserve"> discussions</w:t>
      </w:r>
      <w:r w:rsidR="00525596">
        <w:rPr>
          <w:lang w:eastAsia="en-AU"/>
        </w:rPr>
        <w:t>. Interviewees included</w:t>
      </w:r>
      <w:r w:rsidR="00BD3ABC">
        <w:rPr>
          <w:lang w:eastAsia="en-AU"/>
        </w:rPr>
        <w:t>:</w:t>
      </w:r>
    </w:p>
    <w:p w14:paraId="319EF2FF" w14:textId="77777777" w:rsidR="00BD3ABC" w:rsidRPr="00037275" w:rsidRDefault="00AE33D7" w:rsidP="007C5BFA">
      <w:pPr>
        <w:pStyle w:val="ListParagraph"/>
        <w:numPr>
          <w:ilvl w:val="0"/>
          <w:numId w:val="37"/>
        </w:numPr>
        <w:spacing w:before="0" w:after="40"/>
        <w:ind w:left="714" w:hanging="357"/>
      </w:pPr>
      <w:r>
        <w:t>A</w:t>
      </w:r>
      <w:r w:rsidR="00736A71" w:rsidRPr="00037275">
        <w:t xml:space="preserve">dvocacy organisations </w:t>
      </w:r>
      <w:r w:rsidR="0018271F" w:rsidRPr="00037275">
        <w:t xml:space="preserve">that were </w:t>
      </w:r>
      <w:r w:rsidR="00736A71" w:rsidRPr="00037275">
        <w:t xml:space="preserve">unable to </w:t>
      </w:r>
      <w:r w:rsidR="00BD3ABC" w:rsidRPr="00037275">
        <w:t xml:space="preserve">participate in </w:t>
      </w:r>
      <w:r w:rsidR="00736A71" w:rsidRPr="00037275">
        <w:t>the forums</w:t>
      </w:r>
      <w:r>
        <w:t>.</w:t>
      </w:r>
    </w:p>
    <w:p w14:paraId="39DCE14D" w14:textId="77777777" w:rsidR="00BD3ABC" w:rsidRPr="00037275" w:rsidRDefault="00AE33D7" w:rsidP="007C5BFA">
      <w:pPr>
        <w:pStyle w:val="ListParagraph"/>
        <w:numPr>
          <w:ilvl w:val="0"/>
          <w:numId w:val="37"/>
        </w:numPr>
        <w:spacing w:before="0" w:after="40"/>
        <w:ind w:left="714" w:hanging="357"/>
      </w:pPr>
      <w:r>
        <w:t>A</w:t>
      </w:r>
      <w:r w:rsidR="00736A71" w:rsidRPr="00037275">
        <w:t xml:space="preserve">dvocacy service users </w:t>
      </w:r>
      <w:r w:rsidR="009F3C21" w:rsidRPr="00037275">
        <w:t>(</w:t>
      </w:r>
      <w:r w:rsidR="00736A71" w:rsidRPr="00037275">
        <w:t xml:space="preserve">to </w:t>
      </w:r>
      <w:r w:rsidR="00525596" w:rsidRPr="00037275">
        <w:t xml:space="preserve">assist in </w:t>
      </w:r>
      <w:r w:rsidR="00736A71" w:rsidRPr="00037275">
        <w:t>understand</w:t>
      </w:r>
      <w:r w:rsidR="00525596" w:rsidRPr="00037275">
        <w:t>ing</w:t>
      </w:r>
      <w:r w:rsidR="00736A71" w:rsidRPr="00037275">
        <w:t xml:space="preserve"> the client journey</w:t>
      </w:r>
      <w:r w:rsidR="009F3C21" w:rsidRPr="00037275">
        <w:t>)</w:t>
      </w:r>
      <w:r>
        <w:t>.</w:t>
      </w:r>
      <w:r w:rsidR="00736A71" w:rsidRPr="00037275">
        <w:t xml:space="preserve"> </w:t>
      </w:r>
    </w:p>
    <w:p w14:paraId="69BC1772" w14:textId="2625CEC5" w:rsidR="00525596" w:rsidRPr="00037275" w:rsidRDefault="00AE33D7" w:rsidP="007C5BFA">
      <w:pPr>
        <w:pStyle w:val="ListParagraph"/>
        <w:numPr>
          <w:ilvl w:val="0"/>
          <w:numId w:val="37"/>
        </w:numPr>
        <w:spacing w:before="0" w:after="40"/>
        <w:ind w:left="714" w:hanging="357"/>
      </w:pPr>
      <w:r>
        <w:t>A</w:t>
      </w:r>
      <w:r w:rsidR="00525596" w:rsidRPr="00037275">
        <w:t xml:space="preserve">dvocates from </w:t>
      </w:r>
      <w:r w:rsidR="00736A71" w:rsidRPr="00037275">
        <w:t xml:space="preserve">other </w:t>
      </w:r>
      <w:r w:rsidR="00525596" w:rsidRPr="00037275">
        <w:t>related</w:t>
      </w:r>
      <w:r w:rsidR="00736A71" w:rsidRPr="00037275">
        <w:t xml:space="preserve"> sectors with high demand for service</w:t>
      </w:r>
      <w:r w:rsidR="005551E6">
        <w:rPr>
          <w:rFonts w:ascii="Georgia" w:hAnsi="Georgia"/>
          <w:lang w:eastAsia="en-AU"/>
        </w:rPr>
        <w:t>—</w:t>
      </w:r>
      <w:r w:rsidR="00525596" w:rsidRPr="00037275">
        <w:t xml:space="preserve">financial counselling sector, community legal centres and legal aid. </w:t>
      </w:r>
    </w:p>
    <w:p w14:paraId="6FDC4D66" w14:textId="77777777" w:rsidR="005C0945" w:rsidRDefault="00736A71" w:rsidP="00AE33D7">
      <w:pPr>
        <w:spacing w:before="160"/>
        <w:rPr>
          <w:lang w:eastAsia="en-AU"/>
        </w:rPr>
      </w:pPr>
      <w:r w:rsidRPr="00525596">
        <w:rPr>
          <w:lang w:eastAsia="en-AU"/>
        </w:rPr>
        <w:t xml:space="preserve">Interviews with other sectors </w:t>
      </w:r>
      <w:r w:rsidR="001A315B" w:rsidRPr="00525596">
        <w:rPr>
          <w:lang w:eastAsia="en-AU"/>
        </w:rPr>
        <w:t xml:space="preserve">in DANA networks </w:t>
      </w:r>
      <w:r w:rsidRPr="00525596">
        <w:rPr>
          <w:lang w:eastAsia="en-AU"/>
        </w:rPr>
        <w:t xml:space="preserve">were a way to assess </w:t>
      </w:r>
      <w:r w:rsidR="000A4846" w:rsidRPr="00525596">
        <w:rPr>
          <w:lang w:eastAsia="en-AU"/>
        </w:rPr>
        <w:t>comparable</w:t>
      </w:r>
      <w:r w:rsidRPr="00525596">
        <w:rPr>
          <w:lang w:eastAsia="en-AU"/>
        </w:rPr>
        <w:t xml:space="preserve"> systems and tools used in the advocacy secto</w:t>
      </w:r>
      <w:r w:rsidR="000A4846" w:rsidRPr="00525596">
        <w:rPr>
          <w:lang w:eastAsia="en-AU"/>
        </w:rPr>
        <w:t>r</w:t>
      </w:r>
      <w:r w:rsidR="00525596" w:rsidRPr="00525596">
        <w:rPr>
          <w:lang w:eastAsia="en-AU"/>
        </w:rPr>
        <w:t>.</w:t>
      </w:r>
    </w:p>
    <w:p w14:paraId="71922BDA" w14:textId="77777777" w:rsidR="00557F73" w:rsidRPr="00E3687A" w:rsidRDefault="00557F73" w:rsidP="00D13B67">
      <w:pPr>
        <w:pStyle w:val="Heading3"/>
        <w:rPr>
          <w:lang w:eastAsia="en-AU"/>
        </w:rPr>
      </w:pPr>
      <w:bookmarkStart w:id="14" w:name="_Toc149667975"/>
      <w:r w:rsidRPr="00E3687A">
        <w:rPr>
          <w:lang w:eastAsia="en-AU"/>
        </w:rPr>
        <w:t>Analysis</w:t>
      </w:r>
      <w:bookmarkEnd w:id="14"/>
    </w:p>
    <w:p w14:paraId="0FA93652" w14:textId="77777777" w:rsidR="00AE2AFD" w:rsidRPr="00CA513C" w:rsidRDefault="00AE2AFD" w:rsidP="00AE2AFD">
      <w:pPr>
        <w:rPr>
          <w:b/>
          <w:bCs/>
          <w:color w:val="002B45"/>
          <w:szCs w:val="22"/>
        </w:rPr>
      </w:pPr>
      <w:r w:rsidRPr="00CA513C">
        <w:rPr>
          <w:b/>
          <w:bCs/>
          <w:color w:val="002B45"/>
          <w:szCs w:val="22"/>
        </w:rPr>
        <w:t xml:space="preserve">Quantitative data </w:t>
      </w:r>
    </w:p>
    <w:p w14:paraId="69959F75" w14:textId="7482A79B" w:rsidR="00AE2AFD" w:rsidRPr="00BA654C" w:rsidRDefault="00AE2AFD" w:rsidP="00037275">
      <w:r w:rsidRPr="00BA654C">
        <w:t>T</w:t>
      </w:r>
      <w:r w:rsidR="00D11279">
        <w:t>hree</w:t>
      </w:r>
      <w:r w:rsidRPr="00BA654C">
        <w:t xml:space="preserve"> measures were used to assess </w:t>
      </w:r>
      <w:r w:rsidRPr="00AE33D7">
        <w:t>unmet demand</w:t>
      </w:r>
      <w:r w:rsidRPr="00BA654C">
        <w:t xml:space="preserve"> as a proportion of all </w:t>
      </w:r>
      <w:r w:rsidR="00596409">
        <w:t>e</w:t>
      </w:r>
      <w:r w:rsidRPr="00BA654C">
        <w:t>nquiries/</w:t>
      </w:r>
      <w:r w:rsidR="0015389E">
        <w:t xml:space="preserve"> </w:t>
      </w:r>
      <w:r w:rsidRPr="00BA654C">
        <w:t>requests</w:t>
      </w:r>
      <w:r w:rsidR="00AE33D7">
        <w:t>.</w:t>
      </w:r>
    </w:p>
    <w:p w14:paraId="2C134A22" w14:textId="2F174080" w:rsidR="009F3C21" w:rsidRDefault="00AE2AFD" w:rsidP="00C06422">
      <w:pPr>
        <w:ind w:left="567" w:hanging="567"/>
        <w:rPr>
          <w:rFonts w:cs="Helvetica"/>
          <w:szCs w:val="22"/>
        </w:rPr>
      </w:pPr>
      <w:r w:rsidRPr="006A0943">
        <w:rPr>
          <w:szCs w:val="22"/>
        </w:rPr>
        <w:t>1.</w:t>
      </w:r>
      <w:r w:rsidRPr="00BA654C">
        <w:rPr>
          <w:b/>
          <w:bCs/>
          <w:szCs w:val="22"/>
        </w:rPr>
        <w:t xml:space="preserve"> </w:t>
      </w:r>
      <w:r w:rsidR="00AE33D7">
        <w:rPr>
          <w:b/>
          <w:bCs/>
          <w:szCs w:val="22"/>
        </w:rPr>
        <w:t xml:space="preserve"> </w:t>
      </w:r>
      <w:r w:rsidR="00C06422">
        <w:rPr>
          <w:b/>
          <w:bCs/>
          <w:szCs w:val="22"/>
        </w:rPr>
        <w:t xml:space="preserve">    </w:t>
      </w:r>
      <w:r w:rsidRPr="00BA654C">
        <w:rPr>
          <w:b/>
          <w:bCs/>
          <w:szCs w:val="22"/>
        </w:rPr>
        <w:t>All requests for advocacy</w:t>
      </w:r>
      <w:r w:rsidRPr="00BA654C">
        <w:rPr>
          <w:szCs w:val="22"/>
        </w:rPr>
        <w:t xml:space="preserve"> – all requests</w:t>
      </w:r>
      <w:r w:rsidR="004757C4">
        <w:rPr>
          <w:szCs w:val="22"/>
        </w:rPr>
        <w:t xml:space="preserve"> for advocacy</w:t>
      </w:r>
      <w:r w:rsidRPr="00BA654C">
        <w:rPr>
          <w:szCs w:val="22"/>
        </w:rPr>
        <w:t xml:space="preserve"> received </w:t>
      </w:r>
      <w:r w:rsidR="00BA654C" w:rsidRPr="00BA654C">
        <w:rPr>
          <w:rFonts w:cs="Helvetica"/>
          <w:szCs w:val="22"/>
        </w:rPr>
        <w:t xml:space="preserve">by disability advocacy organisations </w:t>
      </w:r>
      <w:r w:rsidRPr="00BA654C">
        <w:rPr>
          <w:szCs w:val="22"/>
        </w:rPr>
        <w:t>including for information</w:t>
      </w:r>
      <w:r w:rsidR="00BA654C" w:rsidRPr="00BA654C">
        <w:rPr>
          <w:szCs w:val="22"/>
        </w:rPr>
        <w:t xml:space="preserve"> alone and </w:t>
      </w:r>
      <w:r w:rsidR="009F3C21">
        <w:rPr>
          <w:szCs w:val="22"/>
        </w:rPr>
        <w:t xml:space="preserve">including </w:t>
      </w:r>
      <w:r w:rsidRPr="00BA654C">
        <w:rPr>
          <w:szCs w:val="22"/>
        </w:rPr>
        <w:t>eligible and ineligible requests</w:t>
      </w:r>
      <w:r w:rsidR="003B3B01">
        <w:rPr>
          <w:szCs w:val="22"/>
        </w:rPr>
        <w:t>. Ineligible requests</w:t>
      </w:r>
      <w:r w:rsidR="00D60F28">
        <w:rPr>
          <w:szCs w:val="22"/>
        </w:rPr>
        <w:t xml:space="preserve"> may include the person requesting support not living with a disability; not living in the geographical area the organisation provides services; and/or requesting support for an issue the organisation does not assist with.</w:t>
      </w:r>
      <w:r w:rsidRPr="00BA654C">
        <w:rPr>
          <w:rFonts w:cs="Helvetica"/>
          <w:szCs w:val="22"/>
        </w:rPr>
        <w:t xml:space="preserve"> This reflects the volume of requests that need to be </w:t>
      </w:r>
      <w:r w:rsidR="00BA654C" w:rsidRPr="00BA654C">
        <w:rPr>
          <w:rFonts w:cs="Helvetica"/>
          <w:szCs w:val="22"/>
        </w:rPr>
        <w:t xml:space="preserve">responded to, </w:t>
      </w:r>
      <w:r w:rsidRPr="00BA654C">
        <w:rPr>
          <w:rFonts w:cs="Helvetica"/>
          <w:szCs w:val="22"/>
        </w:rPr>
        <w:t xml:space="preserve">sorted, managed, prioritised or referred elsewhere. </w:t>
      </w:r>
    </w:p>
    <w:p w14:paraId="4BFADA53" w14:textId="3B1BCDDD" w:rsidR="00015AC5" w:rsidRPr="00015AC5" w:rsidRDefault="00015AC5" w:rsidP="00C06422">
      <w:pPr>
        <w:ind w:left="567" w:hanging="567"/>
        <w:rPr>
          <w:rFonts w:cs="Helvetica"/>
          <w:szCs w:val="22"/>
        </w:rPr>
      </w:pPr>
      <w:r w:rsidRPr="006A0943">
        <w:rPr>
          <w:szCs w:val="22"/>
        </w:rPr>
        <w:t xml:space="preserve">2. </w:t>
      </w:r>
      <w:r w:rsidRPr="006A0943">
        <w:rPr>
          <w:szCs w:val="22"/>
        </w:rPr>
        <w:tab/>
      </w:r>
      <w:r w:rsidR="004757C4">
        <w:rPr>
          <w:b/>
          <w:bCs/>
          <w:szCs w:val="22"/>
        </w:rPr>
        <w:t>E</w:t>
      </w:r>
      <w:r>
        <w:rPr>
          <w:b/>
          <w:bCs/>
          <w:szCs w:val="22"/>
        </w:rPr>
        <w:t>ligible requests for advocacy</w:t>
      </w:r>
      <w:r>
        <w:rPr>
          <w:szCs w:val="22"/>
        </w:rPr>
        <w:t xml:space="preserve"> – all request</w:t>
      </w:r>
      <w:r w:rsidR="004757C4">
        <w:rPr>
          <w:szCs w:val="22"/>
        </w:rPr>
        <w:t>s</w:t>
      </w:r>
      <w:r>
        <w:rPr>
          <w:szCs w:val="22"/>
        </w:rPr>
        <w:t xml:space="preserve"> for advocacy received by disability advocacy organisations that meet </w:t>
      </w:r>
      <w:r w:rsidR="004757C4">
        <w:rPr>
          <w:szCs w:val="22"/>
        </w:rPr>
        <w:t xml:space="preserve">eligibility criteria to </w:t>
      </w:r>
      <w:r w:rsidR="006B366C">
        <w:rPr>
          <w:szCs w:val="22"/>
        </w:rPr>
        <w:t>provide assistance.</w:t>
      </w:r>
    </w:p>
    <w:p w14:paraId="67C8D06B" w14:textId="2A12366F" w:rsidR="00015AC5" w:rsidRPr="00037275" w:rsidRDefault="00015AC5" w:rsidP="00015AC5">
      <w:pPr>
        <w:ind w:left="567" w:hanging="567"/>
        <w:rPr>
          <w:szCs w:val="22"/>
        </w:rPr>
      </w:pPr>
      <w:r w:rsidRPr="006A0943">
        <w:rPr>
          <w:szCs w:val="22"/>
        </w:rPr>
        <w:t>3</w:t>
      </w:r>
      <w:r w:rsidR="00AE2AFD" w:rsidRPr="006A0943">
        <w:rPr>
          <w:szCs w:val="22"/>
        </w:rPr>
        <w:t>.</w:t>
      </w:r>
      <w:r w:rsidR="00AE2AFD" w:rsidRPr="009F3C21">
        <w:rPr>
          <w:b/>
          <w:bCs/>
          <w:szCs w:val="22"/>
        </w:rPr>
        <w:t xml:space="preserve"> </w:t>
      </w:r>
      <w:r w:rsidR="00AE33D7">
        <w:rPr>
          <w:b/>
          <w:bCs/>
          <w:szCs w:val="22"/>
        </w:rPr>
        <w:t xml:space="preserve"> </w:t>
      </w:r>
      <w:r w:rsidR="00C06422">
        <w:rPr>
          <w:b/>
          <w:bCs/>
          <w:szCs w:val="22"/>
        </w:rPr>
        <w:t xml:space="preserve">    </w:t>
      </w:r>
      <w:r w:rsidR="00AE2AFD" w:rsidRPr="009F3C21">
        <w:rPr>
          <w:b/>
          <w:bCs/>
          <w:szCs w:val="22"/>
        </w:rPr>
        <w:t>Eligible requests</w:t>
      </w:r>
      <w:r w:rsidR="00AE2AFD" w:rsidRPr="00BA654C">
        <w:rPr>
          <w:b/>
          <w:bCs/>
          <w:szCs w:val="22"/>
        </w:rPr>
        <w:t xml:space="preserve"> for advocacy</w:t>
      </w:r>
      <w:r w:rsidR="00AE2AFD" w:rsidRPr="00BA654C">
        <w:rPr>
          <w:szCs w:val="22"/>
        </w:rPr>
        <w:t xml:space="preserve"> </w:t>
      </w:r>
      <w:r w:rsidR="00AE2AFD" w:rsidRPr="00BA654C">
        <w:rPr>
          <w:b/>
          <w:bCs/>
          <w:szCs w:val="22"/>
        </w:rPr>
        <w:t>that did not receive</w:t>
      </w:r>
      <w:r w:rsidR="00AE2AFD" w:rsidRPr="00BA654C">
        <w:rPr>
          <w:szCs w:val="22"/>
        </w:rPr>
        <w:t xml:space="preserve"> </w:t>
      </w:r>
      <w:r w:rsidR="00AE2AFD" w:rsidRPr="009C219F">
        <w:rPr>
          <w:b/>
          <w:szCs w:val="22"/>
        </w:rPr>
        <w:t>assistance</w:t>
      </w:r>
      <w:r w:rsidR="00AE2AFD" w:rsidRPr="00BA654C">
        <w:rPr>
          <w:szCs w:val="22"/>
        </w:rPr>
        <w:t>; or requests that were assigned to a wait list</w:t>
      </w:r>
      <w:r w:rsidR="00BA654C">
        <w:rPr>
          <w:szCs w:val="22"/>
        </w:rPr>
        <w:t xml:space="preserve"> </w:t>
      </w:r>
      <w:r w:rsidR="00AE2AFD" w:rsidRPr="00BA654C">
        <w:rPr>
          <w:szCs w:val="22"/>
        </w:rPr>
        <w:t xml:space="preserve">because the disability advocacy organisation </w:t>
      </w:r>
      <w:r w:rsidR="00BA654C">
        <w:rPr>
          <w:szCs w:val="22"/>
        </w:rPr>
        <w:t>did</w:t>
      </w:r>
      <w:r w:rsidR="00AE2AFD" w:rsidRPr="00BA654C">
        <w:rPr>
          <w:szCs w:val="22"/>
        </w:rPr>
        <w:t xml:space="preserve"> not have the capacity to take on more clients </w:t>
      </w:r>
      <w:r w:rsidR="00BA654C">
        <w:rPr>
          <w:szCs w:val="22"/>
        </w:rPr>
        <w:t>at the time</w:t>
      </w:r>
      <w:r w:rsidR="00AE2AFD" w:rsidRPr="00BA654C">
        <w:rPr>
          <w:szCs w:val="22"/>
        </w:rPr>
        <w:t xml:space="preserve"> suppor</w:t>
      </w:r>
      <w:r w:rsidR="00BA654C">
        <w:rPr>
          <w:szCs w:val="22"/>
        </w:rPr>
        <w:t>t was</w:t>
      </w:r>
      <w:r w:rsidR="00AE2AFD" w:rsidRPr="00BA654C">
        <w:rPr>
          <w:szCs w:val="22"/>
        </w:rPr>
        <w:t xml:space="preserve"> requested. </w:t>
      </w:r>
      <w:r>
        <w:rPr>
          <w:szCs w:val="22"/>
        </w:rPr>
        <w:t xml:space="preserve"> </w:t>
      </w:r>
      <w:r>
        <w:rPr>
          <w:szCs w:val="22"/>
        </w:rPr>
        <w:tab/>
      </w:r>
    </w:p>
    <w:p w14:paraId="2923EF49" w14:textId="77777777" w:rsidR="00AE2AFD" w:rsidRPr="00CA513C" w:rsidRDefault="00AE2AFD" w:rsidP="007B643D">
      <w:pPr>
        <w:spacing w:before="240"/>
        <w:rPr>
          <w:b/>
          <w:bCs/>
          <w:color w:val="002B45"/>
          <w:szCs w:val="22"/>
        </w:rPr>
      </w:pPr>
      <w:r w:rsidRPr="00CA513C">
        <w:rPr>
          <w:b/>
          <w:bCs/>
          <w:color w:val="002B45"/>
          <w:szCs w:val="22"/>
        </w:rPr>
        <w:t>Qualitative data</w:t>
      </w:r>
    </w:p>
    <w:p w14:paraId="629F89E0" w14:textId="77777777" w:rsidR="00AE2AFD" w:rsidRDefault="00AE2AFD" w:rsidP="00037275">
      <w:pPr>
        <w:rPr>
          <w:lang w:eastAsia="en-AU"/>
        </w:rPr>
      </w:pPr>
      <w:r w:rsidRPr="009F3C21">
        <w:rPr>
          <w:lang w:eastAsia="en-AU"/>
        </w:rPr>
        <w:t xml:space="preserve">Thematic analysis was undertaken of the </w:t>
      </w:r>
      <w:r w:rsidR="009F3C21" w:rsidRPr="009F3C21">
        <w:rPr>
          <w:lang w:eastAsia="en-AU"/>
        </w:rPr>
        <w:t xml:space="preserve">survey qualitative data and </w:t>
      </w:r>
      <w:r w:rsidR="00D13B67" w:rsidRPr="009F3C21">
        <w:rPr>
          <w:lang w:eastAsia="en-AU"/>
        </w:rPr>
        <w:t>proceedings from the forum discussions and the interviews</w:t>
      </w:r>
      <w:r w:rsidR="002F081F">
        <w:rPr>
          <w:lang w:eastAsia="en-AU"/>
        </w:rPr>
        <w:t>.</w:t>
      </w:r>
    </w:p>
    <w:p w14:paraId="1D7945B9" w14:textId="77777777" w:rsidR="00557F73" w:rsidRPr="00E3687A" w:rsidRDefault="004E35D1" w:rsidP="00C06422">
      <w:pPr>
        <w:pStyle w:val="Heading5"/>
        <w:rPr>
          <w:lang w:eastAsia="en-AU"/>
        </w:rPr>
      </w:pPr>
      <w:r w:rsidRPr="00E3687A">
        <w:rPr>
          <w:lang w:eastAsia="en-AU"/>
        </w:rPr>
        <w:lastRenderedPageBreak/>
        <w:t>Caveats and l</w:t>
      </w:r>
      <w:r w:rsidR="00557F73" w:rsidRPr="00E3687A">
        <w:rPr>
          <w:lang w:eastAsia="en-AU"/>
        </w:rPr>
        <w:t>imitations of the data</w:t>
      </w:r>
    </w:p>
    <w:p w14:paraId="50747A89" w14:textId="77777777" w:rsidR="003D1EE7" w:rsidRPr="003D1EE7" w:rsidRDefault="00BA654C" w:rsidP="00037275">
      <w:r w:rsidRPr="003D1EE7">
        <w:rPr>
          <w:lang w:eastAsia="en-AU"/>
        </w:rPr>
        <w:t>Some organisations experienced d</w:t>
      </w:r>
      <w:r w:rsidR="00557F73" w:rsidRPr="003D1EE7">
        <w:rPr>
          <w:lang w:eastAsia="en-AU"/>
        </w:rPr>
        <w:t xml:space="preserve">ifficulty </w:t>
      </w:r>
      <w:r w:rsidRPr="003D1EE7">
        <w:rPr>
          <w:lang w:eastAsia="en-AU"/>
        </w:rPr>
        <w:t xml:space="preserve">in </w:t>
      </w:r>
      <w:r w:rsidR="00557F73" w:rsidRPr="003D1EE7">
        <w:rPr>
          <w:lang w:eastAsia="en-AU"/>
        </w:rPr>
        <w:t xml:space="preserve">extracting data </w:t>
      </w:r>
      <w:r w:rsidRPr="003D1EE7">
        <w:rPr>
          <w:lang w:eastAsia="en-AU"/>
        </w:rPr>
        <w:t>for all survey questions due to</w:t>
      </w:r>
      <w:r w:rsidR="00557F73" w:rsidRPr="003D1EE7">
        <w:rPr>
          <w:lang w:eastAsia="en-AU"/>
        </w:rPr>
        <w:t xml:space="preserve"> </w:t>
      </w:r>
      <w:r w:rsidR="009C219F">
        <w:rPr>
          <w:lang w:eastAsia="en-AU"/>
        </w:rPr>
        <w:t xml:space="preserve">the </w:t>
      </w:r>
      <w:r w:rsidR="00557F73" w:rsidRPr="003D1EE7">
        <w:rPr>
          <w:lang w:eastAsia="en-AU"/>
        </w:rPr>
        <w:t>inadequa</w:t>
      </w:r>
      <w:r w:rsidR="003D1EE7">
        <w:rPr>
          <w:lang w:eastAsia="en-AU"/>
        </w:rPr>
        <w:t>cy of their</w:t>
      </w:r>
      <w:r w:rsidR="00557F73" w:rsidRPr="003D1EE7">
        <w:rPr>
          <w:lang w:eastAsia="en-AU"/>
        </w:rPr>
        <w:t xml:space="preserve"> </w:t>
      </w:r>
      <w:r w:rsidR="009F3C21" w:rsidRPr="003D1EE7">
        <w:rPr>
          <w:lang w:eastAsia="en-AU"/>
        </w:rPr>
        <w:t>report</w:t>
      </w:r>
      <w:r w:rsidR="009F3C21">
        <w:rPr>
          <w:lang w:eastAsia="en-AU"/>
        </w:rPr>
        <w:t xml:space="preserve">ing </w:t>
      </w:r>
      <w:r w:rsidR="00557F73" w:rsidRPr="003D1EE7">
        <w:rPr>
          <w:lang w:eastAsia="en-AU"/>
        </w:rPr>
        <w:t>systems</w:t>
      </w:r>
      <w:r w:rsidR="009C219F">
        <w:rPr>
          <w:lang w:eastAsia="en-AU"/>
        </w:rPr>
        <w:t>. T</w:t>
      </w:r>
      <w:r w:rsidRPr="003D1EE7">
        <w:rPr>
          <w:lang w:eastAsia="en-AU"/>
        </w:rPr>
        <w:t>here is i</w:t>
      </w:r>
      <w:r w:rsidR="00557F73" w:rsidRPr="003D1EE7">
        <w:rPr>
          <w:lang w:eastAsia="en-AU"/>
        </w:rPr>
        <w:t xml:space="preserve">nconsistency across disability advocacy organisations in how </w:t>
      </w:r>
      <w:r w:rsidR="003D1EE7" w:rsidRPr="003D1EE7">
        <w:rPr>
          <w:lang w:eastAsia="en-AU"/>
        </w:rPr>
        <w:t>service contacts</w:t>
      </w:r>
      <w:r w:rsidRPr="003D1EE7">
        <w:rPr>
          <w:lang w:eastAsia="en-AU"/>
        </w:rPr>
        <w:t xml:space="preserve"> are </w:t>
      </w:r>
      <w:r w:rsidR="00557F73" w:rsidRPr="003D1EE7">
        <w:rPr>
          <w:lang w:eastAsia="en-AU"/>
        </w:rPr>
        <w:t>record</w:t>
      </w:r>
      <w:r w:rsidRPr="003D1EE7">
        <w:rPr>
          <w:lang w:eastAsia="en-AU"/>
        </w:rPr>
        <w:t>ed</w:t>
      </w:r>
      <w:r w:rsidR="00557F73" w:rsidRPr="003D1EE7">
        <w:rPr>
          <w:lang w:eastAsia="en-AU"/>
        </w:rPr>
        <w:t xml:space="preserve"> and </w:t>
      </w:r>
      <w:r w:rsidR="003D1EE7" w:rsidRPr="003D1EE7">
        <w:rPr>
          <w:lang w:eastAsia="en-AU"/>
        </w:rPr>
        <w:t>processed</w:t>
      </w:r>
      <w:r w:rsidR="003D1EE7">
        <w:rPr>
          <w:lang w:eastAsia="en-AU"/>
        </w:rPr>
        <w:t xml:space="preserve">. The personal details of </w:t>
      </w:r>
      <w:r w:rsidR="00557F73" w:rsidRPr="003D1EE7">
        <w:rPr>
          <w:lang w:eastAsia="en-AU"/>
        </w:rPr>
        <w:t xml:space="preserve">many </w:t>
      </w:r>
      <w:r w:rsidR="003D1EE7" w:rsidRPr="003D1EE7">
        <w:rPr>
          <w:lang w:eastAsia="en-AU"/>
        </w:rPr>
        <w:t xml:space="preserve">people </w:t>
      </w:r>
      <w:r w:rsidR="00264D04">
        <w:rPr>
          <w:lang w:eastAsia="en-AU"/>
        </w:rPr>
        <w:t>seeking</w:t>
      </w:r>
      <w:r w:rsidR="009F3C21">
        <w:rPr>
          <w:lang w:eastAsia="en-AU"/>
        </w:rPr>
        <w:t xml:space="preserve"> support </w:t>
      </w:r>
      <w:r w:rsidR="00264D04">
        <w:rPr>
          <w:lang w:eastAsia="en-AU"/>
        </w:rPr>
        <w:t xml:space="preserve">may </w:t>
      </w:r>
      <w:r w:rsidR="003D1EE7">
        <w:rPr>
          <w:lang w:eastAsia="en-AU"/>
        </w:rPr>
        <w:t xml:space="preserve">not </w:t>
      </w:r>
      <w:r w:rsidR="00264D04">
        <w:rPr>
          <w:lang w:eastAsia="en-AU"/>
        </w:rPr>
        <w:t>be r</w:t>
      </w:r>
      <w:r w:rsidR="003D1EE7">
        <w:rPr>
          <w:lang w:eastAsia="en-AU"/>
        </w:rPr>
        <w:t xml:space="preserve">ecorded </w:t>
      </w:r>
      <w:r w:rsidR="009F3C21">
        <w:rPr>
          <w:lang w:eastAsia="en-AU"/>
        </w:rPr>
        <w:t>so as to</w:t>
      </w:r>
      <w:r w:rsidR="003D1EE7" w:rsidRPr="003D1EE7">
        <w:rPr>
          <w:lang w:eastAsia="en-AU"/>
        </w:rPr>
        <w:t xml:space="preserve"> </w:t>
      </w:r>
      <w:r w:rsidR="009F3C21">
        <w:rPr>
          <w:lang w:eastAsia="en-AU"/>
        </w:rPr>
        <w:t xml:space="preserve">not </w:t>
      </w:r>
      <w:r w:rsidR="003D1EE7" w:rsidRPr="003D1EE7">
        <w:rPr>
          <w:lang w:eastAsia="en-AU"/>
        </w:rPr>
        <w:t>jeopardise psychological safety</w:t>
      </w:r>
      <w:r w:rsidR="00557F73" w:rsidRPr="003D1EE7">
        <w:rPr>
          <w:lang w:eastAsia="en-AU"/>
        </w:rPr>
        <w:t xml:space="preserve">, </w:t>
      </w:r>
      <w:r w:rsidR="00264D04">
        <w:rPr>
          <w:lang w:eastAsia="en-AU"/>
        </w:rPr>
        <w:t xml:space="preserve">and </w:t>
      </w:r>
      <w:r w:rsidR="003D1EE7">
        <w:rPr>
          <w:lang w:eastAsia="en-AU"/>
        </w:rPr>
        <w:t xml:space="preserve">people </w:t>
      </w:r>
      <w:r w:rsidR="003D1EE7" w:rsidRPr="003D1EE7">
        <w:rPr>
          <w:lang w:eastAsia="en-AU"/>
        </w:rPr>
        <w:t xml:space="preserve">may be </w:t>
      </w:r>
      <w:r w:rsidR="00557F73" w:rsidRPr="003D1EE7">
        <w:rPr>
          <w:lang w:eastAsia="en-AU"/>
        </w:rPr>
        <w:t xml:space="preserve">referred elsewhere or provided </w:t>
      </w:r>
      <w:r w:rsidR="003D1EE7" w:rsidRPr="003D1EE7">
        <w:rPr>
          <w:lang w:eastAsia="en-AU"/>
        </w:rPr>
        <w:t xml:space="preserve">with </w:t>
      </w:r>
      <w:r w:rsidR="00557F73" w:rsidRPr="003D1EE7">
        <w:rPr>
          <w:lang w:eastAsia="en-AU"/>
        </w:rPr>
        <w:t xml:space="preserve">information. Many </w:t>
      </w:r>
      <w:r w:rsidR="003D1EE7">
        <w:rPr>
          <w:lang w:eastAsia="en-AU"/>
        </w:rPr>
        <w:t xml:space="preserve">contacts </w:t>
      </w:r>
      <w:r w:rsidR="003D1EE7" w:rsidRPr="003D1EE7">
        <w:rPr>
          <w:lang w:eastAsia="en-AU"/>
        </w:rPr>
        <w:t xml:space="preserve">are </w:t>
      </w:r>
      <w:r w:rsidR="00557F73" w:rsidRPr="003D1EE7">
        <w:rPr>
          <w:lang w:eastAsia="en-AU"/>
        </w:rPr>
        <w:t xml:space="preserve">not recorded in DEX due to the </w:t>
      </w:r>
      <w:r w:rsidR="007B643D">
        <w:rPr>
          <w:lang w:eastAsia="en-AU"/>
        </w:rPr>
        <w:t>5</w:t>
      </w:r>
      <w:r w:rsidR="00557F73" w:rsidRPr="003D1EE7">
        <w:rPr>
          <w:lang w:eastAsia="en-AU"/>
        </w:rPr>
        <w:t>% unidentified rule</w:t>
      </w:r>
      <w:r w:rsidR="008C5DD0">
        <w:rPr>
          <w:lang w:eastAsia="en-AU"/>
        </w:rPr>
        <w:t>.</w:t>
      </w:r>
      <w:r w:rsidR="003D1EE7" w:rsidRPr="003D1EE7">
        <w:rPr>
          <w:rStyle w:val="FootnoteReference"/>
          <w:szCs w:val="22"/>
        </w:rPr>
        <w:footnoteReference w:id="7"/>
      </w:r>
      <w:r w:rsidR="003D1EE7" w:rsidRPr="003D1EE7">
        <w:rPr>
          <w:lang w:eastAsia="en-AU"/>
        </w:rPr>
        <w:t xml:space="preserve"> </w:t>
      </w:r>
      <w:r w:rsidR="00557F73" w:rsidRPr="003D1EE7">
        <w:t>Nevertheless, these "invisible" numbers amount to substantial time and effort that is not captured through DEX reporting.</w:t>
      </w:r>
    </w:p>
    <w:p w14:paraId="1F8DB9AE" w14:textId="643E2872" w:rsidR="00DB2DD6" w:rsidRPr="00037275" w:rsidRDefault="00BA654C" w:rsidP="00037275">
      <w:r w:rsidRPr="003D1EE7">
        <w:t xml:space="preserve">Of the 39 responding organisations, </w:t>
      </w:r>
      <w:r w:rsidR="007759D1">
        <w:t>33</w:t>
      </w:r>
      <w:r w:rsidRPr="003D1EE7">
        <w:rPr>
          <w:rFonts w:cs="Helvetica"/>
        </w:rPr>
        <w:t xml:space="preserve"> provided full data sets for the 6-month period</w:t>
      </w:r>
      <w:r w:rsidR="00901CB6">
        <w:rPr>
          <w:rStyle w:val="FootnoteReference"/>
          <w:rFonts w:cs="Helvetica"/>
          <w:szCs w:val="22"/>
        </w:rPr>
        <w:footnoteReference w:id="8"/>
      </w:r>
      <w:r w:rsidR="007759D1">
        <w:rPr>
          <w:rFonts w:cs="Helvetica"/>
        </w:rPr>
        <w:t xml:space="preserve"> and t</w:t>
      </w:r>
      <w:r w:rsidRPr="003D1EE7">
        <w:rPr>
          <w:rFonts w:cs="Helvetica"/>
        </w:rPr>
        <w:t xml:space="preserve">here was missing data </w:t>
      </w:r>
      <w:r w:rsidR="007759D1">
        <w:rPr>
          <w:rFonts w:cs="Helvetica"/>
        </w:rPr>
        <w:t xml:space="preserve">from </w:t>
      </w:r>
      <w:r w:rsidR="007B643D">
        <w:rPr>
          <w:rFonts w:cs="Helvetica"/>
        </w:rPr>
        <w:t xml:space="preserve">six </w:t>
      </w:r>
      <w:r w:rsidR="007759D1" w:rsidRPr="003D1EE7">
        <w:rPr>
          <w:rFonts w:cs="Helvetica"/>
        </w:rPr>
        <w:t xml:space="preserve">organisations for </w:t>
      </w:r>
      <w:r w:rsidR="007B643D">
        <w:rPr>
          <w:rFonts w:cs="Helvetica"/>
        </w:rPr>
        <w:t xml:space="preserve">one </w:t>
      </w:r>
      <w:r w:rsidR="007759D1">
        <w:rPr>
          <w:rFonts w:cs="Helvetica"/>
        </w:rPr>
        <w:t xml:space="preserve">month for </w:t>
      </w:r>
      <w:r w:rsidR="007759D1" w:rsidRPr="003D1EE7">
        <w:rPr>
          <w:rFonts w:cs="Helvetica"/>
        </w:rPr>
        <w:t>Question 4</w:t>
      </w:r>
      <w:r w:rsidR="0015389E">
        <w:rPr>
          <w:rFonts w:cs="Helvetica"/>
        </w:rPr>
        <w:t>.</w:t>
      </w:r>
      <w:r w:rsidR="007759D1" w:rsidRPr="007759D1">
        <w:rPr>
          <w:rStyle w:val="FootnoteReference"/>
          <w:szCs w:val="22"/>
        </w:rPr>
        <w:footnoteReference w:id="9"/>
      </w:r>
      <w:r w:rsidRPr="003D1EE7">
        <w:rPr>
          <w:rStyle w:val="FootnoteReference"/>
        </w:rPr>
        <w:t xml:space="preserve"> </w:t>
      </w:r>
      <w:r w:rsidR="007759D1" w:rsidRPr="007759D1">
        <w:t xml:space="preserve">The available data for these </w:t>
      </w:r>
      <w:r w:rsidR="007B643D">
        <w:t>six</w:t>
      </w:r>
      <w:r w:rsidR="009F3C21">
        <w:t xml:space="preserve"> </w:t>
      </w:r>
      <w:r w:rsidR="007759D1" w:rsidRPr="007759D1">
        <w:t>respondents was averaged across the full 6</w:t>
      </w:r>
      <w:r w:rsidR="00C06422">
        <w:t>-</w:t>
      </w:r>
      <w:r w:rsidR="007759D1" w:rsidRPr="007759D1">
        <w:t>month period and applied to the missing months to avoid underreporting</w:t>
      </w:r>
      <w:r w:rsidR="00901CB6">
        <w:t>.</w:t>
      </w:r>
    </w:p>
    <w:p w14:paraId="1B190EDF" w14:textId="3B3AB34B" w:rsidR="00557F73" w:rsidRPr="00037275" w:rsidRDefault="00DC0AF9" w:rsidP="00037275">
      <w:r w:rsidRPr="007759D1">
        <w:rPr>
          <w:rFonts w:cs="Helvetica"/>
        </w:rPr>
        <w:t>W</w:t>
      </w:r>
      <w:r w:rsidR="00DB2DD6" w:rsidRPr="007759D1">
        <w:rPr>
          <w:rFonts w:cs="Helvetica"/>
        </w:rPr>
        <w:t>ait list</w:t>
      </w:r>
      <w:r w:rsidRPr="007759D1">
        <w:rPr>
          <w:rFonts w:cs="Helvetica"/>
        </w:rPr>
        <w:t xml:space="preserve"> data </w:t>
      </w:r>
      <w:r w:rsidR="007759D1" w:rsidRPr="007759D1">
        <w:rPr>
          <w:rFonts w:cs="Helvetica"/>
        </w:rPr>
        <w:t>was provided for the last day of the month and would not reflect fluctuations over the month</w:t>
      </w:r>
      <w:r w:rsidR="00264D04">
        <w:rPr>
          <w:rFonts w:cs="Helvetica"/>
        </w:rPr>
        <w:t>;</w:t>
      </w:r>
      <w:r w:rsidR="007759D1">
        <w:rPr>
          <w:rFonts w:cs="Helvetica"/>
        </w:rPr>
        <w:t xml:space="preserve"> however</w:t>
      </w:r>
      <w:r w:rsidR="00264D04">
        <w:rPr>
          <w:rFonts w:cs="Helvetica"/>
        </w:rPr>
        <w:t>,</w:t>
      </w:r>
      <w:r w:rsidR="007759D1">
        <w:rPr>
          <w:rFonts w:cs="Helvetica"/>
        </w:rPr>
        <w:t xml:space="preserve"> </w:t>
      </w:r>
      <w:r w:rsidR="008F1B61">
        <w:rPr>
          <w:rFonts w:cs="Helvetica"/>
        </w:rPr>
        <w:t xml:space="preserve">the data </w:t>
      </w:r>
      <w:r w:rsidRPr="007759D1">
        <w:rPr>
          <w:rFonts w:cs="Helvetica"/>
        </w:rPr>
        <w:t xml:space="preserve">is unreliable because of the disparity in how organisations </w:t>
      </w:r>
      <w:r w:rsidR="00912BE6">
        <w:rPr>
          <w:rFonts w:cs="Helvetica"/>
        </w:rPr>
        <w:t>manage</w:t>
      </w:r>
      <w:r w:rsidRPr="007759D1">
        <w:rPr>
          <w:rFonts w:cs="Helvetica"/>
        </w:rPr>
        <w:t xml:space="preserve"> wait lists.</w:t>
      </w:r>
      <w:r w:rsidR="007759D1">
        <w:rPr>
          <w:rFonts w:cs="Helvetica"/>
        </w:rPr>
        <w:t xml:space="preserve"> S</w:t>
      </w:r>
      <w:r w:rsidRPr="007759D1">
        <w:rPr>
          <w:rFonts w:cs="Helvetica"/>
        </w:rPr>
        <w:t xml:space="preserve">ome </w:t>
      </w:r>
      <w:r w:rsidR="00DB2DD6" w:rsidRPr="007759D1">
        <w:rPr>
          <w:rFonts w:cs="Helvetica"/>
        </w:rPr>
        <w:t>do not keep wait list</w:t>
      </w:r>
      <w:r w:rsidRPr="007759D1">
        <w:rPr>
          <w:rFonts w:cs="Helvetica"/>
        </w:rPr>
        <w:t>s, they may be kept for varying lengths of time</w:t>
      </w:r>
      <w:r w:rsidR="00DB2DD6" w:rsidRPr="007759D1">
        <w:rPr>
          <w:rFonts w:cs="Helvetica"/>
        </w:rPr>
        <w:t xml:space="preserve"> </w:t>
      </w:r>
      <w:r w:rsidR="007759D1" w:rsidRPr="007759D1">
        <w:rPr>
          <w:rFonts w:cs="Helvetica"/>
        </w:rPr>
        <w:t>and</w:t>
      </w:r>
      <w:r w:rsidRPr="007759D1">
        <w:rPr>
          <w:rFonts w:cs="Helvetica"/>
        </w:rPr>
        <w:t xml:space="preserve"> people </w:t>
      </w:r>
      <w:r w:rsidR="007759D1">
        <w:rPr>
          <w:rFonts w:cs="Helvetica"/>
        </w:rPr>
        <w:t xml:space="preserve">with disability </w:t>
      </w:r>
      <w:r w:rsidRPr="007759D1">
        <w:rPr>
          <w:rFonts w:cs="Helvetica"/>
        </w:rPr>
        <w:t>may be on multiple wait lists</w:t>
      </w:r>
      <w:r w:rsidR="00DB2DD6" w:rsidRPr="007759D1">
        <w:rPr>
          <w:rFonts w:cs="Helvetica"/>
        </w:rPr>
        <w:t xml:space="preserve">. </w:t>
      </w:r>
      <w:r w:rsidR="00264D04">
        <w:rPr>
          <w:rFonts w:cs="Helvetica"/>
        </w:rPr>
        <w:t xml:space="preserve">In </w:t>
      </w:r>
      <w:r w:rsidR="004037E0">
        <w:rPr>
          <w:rFonts w:cs="Helvetica"/>
        </w:rPr>
        <w:t>summary</w:t>
      </w:r>
      <w:r w:rsidR="00264D04">
        <w:rPr>
          <w:rFonts w:cs="Helvetica"/>
        </w:rPr>
        <w:t>, t</w:t>
      </w:r>
      <w:r w:rsidR="007759D1">
        <w:rPr>
          <w:rFonts w:cs="Helvetica"/>
        </w:rPr>
        <w:t>he reported wait</w:t>
      </w:r>
      <w:r w:rsidR="00264D04">
        <w:rPr>
          <w:rFonts w:cs="Helvetica"/>
        </w:rPr>
        <w:t xml:space="preserve"> l</w:t>
      </w:r>
      <w:r w:rsidR="007759D1">
        <w:rPr>
          <w:rFonts w:cs="Helvetica"/>
        </w:rPr>
        <w:t>ist data</w:t>
      </w:r>
      <w:r w:rsidR="00DB2DD6" w:rsidRPr="007759D1">
        <w:rPr>
          <w:rFonts w:cs="Helvetica"/>
        </w:rPr>
        <w:t xml:space="preserve"> </w:t>
      </w:r>
      <w:r w:rsidR="009115A2">
        <w:rPr>
          <w:rFonts w:cs="Helvetica"/>
        </w:rPr>
        <w:t>possibly</w:t>
      </w:r>
      <w:r w:rsidR="009115A2" w:rsidRPr="007759D1">
        <w:rPr>
          <w:rFonts w:cs="Helvetica"/>
        </w:rPr>
        <w:t xml:space="preserve"> </w:t>
      </w:r>
      <w:r w:rsidR="00DB2DD6" w:rsidRPr="007759D1">
        <w:rPr>
          <w:rFonts w:cs="Helvetica"/>
        </w:rPr>
        <w:t>underrepresent</w:t>
      </w:r>
      <w:r w:rsidR="00264D04">
        <w:rPr>
          <w:rFonts w:cs="Helvetica"/>
        </w:rPr>
        <w:t>s</w:t>
      </w:r>
      <w:r w:rsidR="00DB2DD6" w:rsidRPr="007759D1">
        <w:rPr>
          <w:rFonts w:cs="Helvetica"/>
        </w:rPr>
        <w:t xml:space="preserve"> the total unmet demand comprised by wait lists. </w:t>
      </w:r>
    </w:p>
    <w:p w14:paraId="2B5C3F81" w14:textId="77777777" w:rsidR="00557F73" w:rsidRPr="004E35D1" w:rsidRDefault="00557F73" w:rsidP="00037275">
      <w:r w:rsidRPr="004E35D1">
        <w:t>Despite these limitations, 77% of the raw data was complete. The high rate of participation and broadly complete data set lend confidence in the capture and processing steps.</w:t>
      </w:r>
    </w:p>
    <w:p w14:paraId="60ABD9F2" w14:textId="77777777" w:rsidR="007530EC" w:rsidRPr="00E3687A" w:rsidRDefault="003D20A7" w:rsidP="002F081F">
      <w:pPr>
        <w:pStyle w:val="Heading3"/>
      </w:pPr>
      <w:bookmarkStart w:id="15" w:name="_Toc149667976"/>
      <w:r w:rsidRPr="00E3687A">
        <w:t>Production of the Intake Reference Guide</w:t>
      </w:r>
      <w:bookmarkEnd w:id="15"/>
    </w:p>
    <w:p w14:paraId="3BD4F7D9" w14:textId="77777777" w:rsidR="00932A2F" w:rsidRPr="00FC23BA" w:rsidRDefault="00932A2F" w:rsidP="00037275">
      <w:pPr>
        <w:rPr>
          <w:lang w:eastAsia="en-AU"/>
        </w:rPr>
      </w:pPr>
      <w:r w:rsidRPr="00FC23BA">
        <w:rPr>
          <w:lang w:eastAsia="en-AU"/>
        </w:rPr>
        <w:t xml:space="preserve">The </w:t>
      </w:r>
      <w:r w:rsidRPr="006A0943">
        <w:rPr>
          <w:i/>
          <w:iCs/>
          <w:lang w:eastAsia="en-AU"/>
        </w:rPr>
        <w:t>Intake Reference Guide</w:t>
      </w:r>
      <w:r w:rsidR="00173DF3">
        <w:rPr>
          <w:rStyle w:val="FootnoteReference"/>
          <w:szCs w:val="36"/>
        </w:rPr>
        <w:footnoteReference w:id="10"/>
      </w:r>
      <w:r w:rsidRPr="00FC23BA">
        <w:rPr>
          <w:lang w:eastAsia="en-AU"/>
        </w:rPr>
        <w:t xml:space="preserve"> was developed </w:t>
      </w:r>
      <w:r w:rsidR="0032483A">
        <w:rPr>
          <w:lang w:eastAsia="en-AU"/>
        </w:rPr>
        <w:t xml:space="preserve">as a </w:t>
      </w:r>
      <w:r w:rsidR="008A059F" w:rsidRPr="00FC23BA">
        <w:rPr>
          <w:lang w:eastAsia="en-AU"/>
        </w:rPr>
        <w:t>resource for the advocacy sector</w:t>
      </w:r>
      <w:r w:rsidR="008A059F">
        <w:rPr>
          <w:lang w:eastAsia="en-AU"/>
        </w:rPr>
        <w:t xml:space="preserve"> </w:t>
      </w:r>
      <w:r w:rsidR="002D4D7C">
        <w:rPr>
          <w:lang w:eastAsia="en-AU"/>
        </w:rPr>
        <w:t>through</w:t>
      </w:r>
      <w:r w:rsidR="008A059F">
        <w:rPr>
          <w:lang w:eastAsia="en-AU"/>
        </w:rPr>
        <w:t xml:space="preserve"> </w:t>
      </w:r>
      <w:r w:rsidRPr="00FC23BA">
        <w:rPr>
          <w:lang w:eastAsia="en-AU"/>
        </w:rPr>
        <w:t xml:space="preserve">a co-design process </w:t>
      </w:r>
      <w:r w:rsidR="00D127A1">
        <w:rPr>
          <w:lang w:eastAsia="en-AU"/>
        </w:rPr>
        <w:t>involving</w:t>
      </w:r>
      <w:r w:rsidRPr="00FC23BA">
        <w:rPr>
          <w:lang w:eastAsia="en-AU"/>
        </w:rPr>
        <w:t xml:space="preserve"> disability advocates and disability advocacy organisations from around Australia</w:t>
      </w:r>
      <w:r w:rsidR="00D93D00">
        <w:rPr>
          <w:lang w:eastAsia="en-AU"/>
        </w:rPr>
        <w:t xml:space="preserve"> and across </w:t>
      </w:r>
      <w:r w:rsidR="008A059F">
        <w:rPr>
          <w:lang w:eastAsia="en-AU"/>
        </w:rPr>
        <w:t xml:space="preserve">all </w:t>
      </w:r>
      <w:r w:rsidRPr="00FC23BA">
        <w:rPr>
          <w:lang w:eastAsia="en-AU"/>
        </w:rPr>
        <w:t>funding streams. Input</w:t>
      </w:r>
      <w:r w:rsidR="008A059F">
        <w:rPr>
          <w:lang w:eastAsia="en-AU"/>
        </w:rPr>
        <w:t xml:space="preserve"> </w:t>
      </w:r>
      <w:r w:rsidR="00173DF3">
        <w:rPr>
          <w:lang w:eastAsia="en-AU"/>
        </w:rPr>
        <w:t>included sharing</w:t>
      </w:r>
      <w:r w:rsidR="00173DF3" w:rsidRPr="00FC23BA">
        <w:rPr>
          <w:lang w:eastAsia="en-AU"/>
        </w:rPr>
        <w:t xml:space="preserve"> of </w:t>
      </w:r>
      <w:r w:rsidR="00173DF3">
        <w:rPr>
          <w:lang w:eastAsia="en-AU"/>
        </w:rPr>
        <w:t xml:space="preserve">organisational </w:t>
      </w:r>
      <w:r w:rsidR="00173DF3" w:rsidRPr="00FC23BA">
        <w:rPr>
          <w:lang w:eastAsia="en-AU"/>
        </w:rPr>
        <w:t xml:space="preserve">policies and procedures </w:t>
      </w:r>
      <w:r w:rsidR="002C0797">
        <w:rPr>
          <w:lang w:eastAsia="en-AU"/>
        </w:rPr>
        <w:t>for</w:t>
      </w:r>
      <w:r w:rsidR="00173DF3" w:rsidRPr="00FC23BA">
        <w:rPr>
          <w:lang w:eastAsia="en-AU"/>
        </w:rPr>
        <w:t xml:space="preserve"> intake and demand management</w:t>
      </w:r>
      <w:r w:rsidR="00173DF3">
        <w:rPr>
          <w:lang w:eastAsia="en-AU"/>
        </w:rPr>
        <w:t>, discussion at</w:t>
      </w:r>
      <w:r w:rsidR="00173DF3" w:rsidRPr="00FC23BA" w:rsidDel="008A059F">
        <w:rPr>
          <w:lang w:eastAsia="en-AU"/>
        </w:rPr>
        <w:t xml:space="preserve"> </w:t>
      </w:r>
      <w:r w:rsidRPr="00FC23BA">
        <w:rPr>
          <w:lang w:eastAsia="en-AU"/>
        </w:rPr>
        <w:t xml:space="preserve">forums and feedback on draft </w:t>
      </w:r>
      <w:r w:rsidR="00714D87">
        <w:rPr>
          <w:lang w:eastAsia="en-AU"/>
        </w:rPr>
        <w:t xml:space="preserve">Guide </w:t>
      </w:r>
      <w:r w:rsidRPr="00FC23BA">
        <w:rPr>
          <w:lang w:eastAsia="en-AU"/>
        </w:rPr>
        <w:t xml:space="preserve">documents. </w:t>
      </w:r>
    </w:p>
    <w:p w14:paraId="74351EFD" w14:textId="77777777" w:rsidR="00932A2F" w:rsidRDefault="00932A2F" w:rsidP="00037275">
      <w:pPr>
        <w:rPr>
          <w:lang w:eastAsia="en-AU"/>
        </w:rPr>
      </w:pPr>
      <w:r w:rsidRPr="00FC23BA">
        <w:rPr>
          <w:lang w:eastAsia="en-AU"/>
        </w:rPr>
        <w:t xml:space="preserve">The </w:t>
      </w:r>
      <w:r w:rsidR="00173DF3" w:rsidRPr="006A0943">
        <w:rPr>
          <w:i/>
          <w:iCs/>
          <w:lang w:eastAsia="en-AU"/>
        </w:rPr>
        <w:t>Intake Reference G</w:t>
      </w:r>
      <w:r w:rsidRPr="006A0943">
        <w:rPr>
          <w:i/>
          <w:iCs/>
          <w:lang w:eastAsia="en-AU"/>
        </w:rPr>
        <w:t>uide</w:t>
      </w:r>
      <w:r w:rsidRPr="00FC23BA">
        <w:rPr>
          <w:lang w:eastAsia="en-AU"/>
        </w:rPr>
        <w:t xml:space="preserve"> </w:t>
      </w:r>
      <w:r w:rsidR="00173DF3">
        <w:rPr>
          <w:lang w:eastAsia="en-AU"/>
        </w:rPr>
        <w:t>details</w:t>
      </w:r>
      <w:r w:rsidR="00173DF3" w:rsidRPr="00FC23BA">
        <w:rPr>
          <w:lang w:eastAsia="en-AU"/>
        </w:rPr>
        <w:t xml:space="preserve"> </w:t>
      </w:r>
      <w:r w:rsidRPr="00FC23BA">
        <w:rPr>
          <w:lang w:eastAsia="en-AU"/>
        </w:rPr>
        <w:t xml:space="preserve">examples of good </w:t>
      </w:r>
      <w:r w:rsidR="00473619">
        <w:rPr>
          <w:lang w:eastAsia="en-AU"/>
        </w:rPr>
        <w:t xml:space="preserve">practice </w:t>
      </w:r>
      <w:r w:rsidRPr="00FC23BA">
        <w:rPr>
          <w:lang w:eastAsia="en-AU"/>
        </w:rPr>
        <w:t>intak</w:t>
      </w:r>
      <w:r w:rsidR="00F52135">
        <w:rPr>
          <w:lang w:eastAsia="en-AU"/>
        </w:rPr>
        <w:t>e processes</w:t>
      </w:r>
      <w:r w:rsidR="00173DF3">
        <w:rPr>
          <w:lang w:eastAsia="en-AU"/>
        </w:rPr>
        <w:t xml:space="preserve"> and </w:t>
      </w:r>
      <w:r w:rsidRPr="00FC23BA">
        <w:rPr>
          <w:lang w:eastAsia="en-AU"/>
        </w:rPr>
        <w:t xml:space="preserve">explores how demand </w:t>
      </w:r>
      <w:r w:rsidR="00533FE6">
        <w:rPr>
          <w:lang w:eastAsia="en-AU"/>
        </w:rPr>
        <w:t>can be</w:t>
      </w:r>
      <w:r w:rsidRPr="00FC23BA">
        <w:rPr>
          <w:lang w:eastAsia="en-AU"/>
        </w:rPr>
        <w:t xml:space="preserve"> managed through intake, prioritisation, wait lists and appropriate case load size. It highlights the fit-for-purpose operations of different sized organisations, as well as organisations that provide services for specific disability cohorts. </w:t>
      </w:r>
    </w:p>
    <w:p w14:paraId="34F2C3FA" w14:textId="77777777" w:rsidR="008809F6" w:rsidRPr="00E3687A" w:rsidRDefault="008809F6" w:rsidP="00C06422">
      <w:pPr>
        <w:pStyle w:val="Heading5"/>
      </w:pPr>
      <w:r w:rsidRPr="00E3687A">
        <w:lastRenderedPageBreak/>
        <w:t>Disability advocacy intake process</w:t>
      </w:r>
    </w:p>
    <w:p w14:paraId="3292946A" w14:textId="400309FD" w:rsidR="00217457" w:rsidRDefault="008809F6" w:rsidP="00037275">
      <w:r w:rsidRPr="0004029E">
        <w:t xml:space="preserve">Discussions with advocacy organisations demonstrate that the following intake process </w:t>
      </w:r>
      <w:r w:rsidR="00A37628" w:rsidRPr="0004029E">
        <w:t xml:space="preserve">typically </w:t>
      </w:r>
      <w:r w:rsidRPr="0004029E">
        <w:t xml:space="preserve">occurs </w:t>
      </w:r>
      <w:r w:rsidR="00A37628" w:rsidRPr="0004029E">
        <w:t>following initial contact requesting advocacy support</w:t>
      </w:r>
      <w:r w:rsidR="00C06422">
        <w:t>.</w:t>
      </w:r>
      <w:r w:rsidR="00CB4224">
        <w:t xml:space="preserve"> </w:t>
      </w:r>
      <w:r w:rsidR="00F06F2C">
        <w:t xml:space="preserve">The enquiry is assessed as </w:t>
      </w:r>
      <w:r w:rsidR="00F06F2C" w:rsidRPr="006E108D">
        <w:rPr>
          <w:b/>
          <w:bCs/>
        </w:rPr>
        <w:t>ineligible</w:t>
      </w:r>
      <w:r w:rsidR="00F06F2C">
        <w:t xml:space="preserve"> or </w:t>
      </w:r>
      <w:r w:rsidR="00F06F2C" w:rsidRPr="006E108D">
        <w:rPr>
          <w:b/>
          <w:bCs/>
        </w:rPr>
        <w:t>eligible</w:t>
      </w:r>
      <w:r w:rsidR="00F06F2C">
        <w:t xml:space="preserve"> for advocacy.</w:t>
      </w:r>
      <w:r w:rsidR="00325BD5">
        <w:rPr>
          <w:rStyle w:val="FootnoteReference"/>
        </w:rPr>
        <w:footnoteReference w:id="11"/>
      </w:r>
    </w:p>
    <w:p w14:paraId="7AE5B233" w14:textId="595C71CE" w:rsidR="00F06F2C" w:rsidRDefault="00F06F2C" w:rsidP="00037275">
      <w:r>
        <w:t>Ineligible requests for advocacy are provided information and</w:t>
      </w:r>
      <w:r w:rsidR="00331106">
        <w:t xml:space="preserve"> where possible, referred to </w:t>
      </w:r>
      <w:r w:rsidR="00342CDD">
        <w:t>appropriate organisations</w:t>
      </w:r>
      <w:r w:rsidR="005153A7">
        <w:t xml:space="preserve"> for assistance</w:t>
      </w:r>
      <w:r w:rsidR="00342CDD">
        <w:t>.</w:t>
      </w:r>
      <w:r w:rsidR="005153A7">
        <w:t xml:space="preserve"> </w:t>
      </w:r>
    </w:p>
    <w:p w14:paraId="6E5C9299" w14:textId="304E16F1" w:rsidR="00342CDD" w:rsidRDefault="00985D0C" w:rsidP="00037275">
      <w:r>
        <w:t>There are three main processes that occur for eligible advocacy requests</w:t>
      </w:r>
      <w:r w:rsidR="005153A7">
        <w:t>:</w:t>
      </w:r>
    </w:p>
    <w:p w14:paraId="4B62DD58" w14:textId="401D00E8" w:rsidR="00985D0C" w:rsidRDefault="00C731B8" w:rsidP="00DC55F0">
      <w:pPr>
        <w:pStyle w:val="ListParagraph"/>
        <w:numPr>
          <w:ilvl w:val="0"/>
          <w:numId w:val="47"/>
        </w:numPr>
        <w:spacing w:before="0" w:after="40"/>
        <w:contextualSpacing w:val="0"/>
      </w:pPr>
      <w:r>
        <w:t>The person is provided with information an</w:t>
      </w:r>
      <w:r w:rsidR="005153A7">
        <w:t xml:space="preserve">d </w:t>
      </w:r>
      <w:r>
        <w:t>advice to resolve the issue without ongoing advocacy assistance.</w:t>
      </w:r>
    </w:p>
    <w:p w14:paraId="234D3990" w14:textId="3E0A274A" w:rsidR="00C731B8" w:rsidRDefault="00C731B8" w:rsidP="00DC55F0">
      <w:pPr>
        <w:pStyle w:val="ListParagraph"/>
        <w:numPr>
          <w:ilvl w:val="0"/>
          <w:numId w:val="47"/>
        </w:numPr>
        <w:spacing w:before="0" w:after="40"/>
        <w:contextualSpacing w:val="0"/>
      </w:pPr>
      <w:r>
        <w:t>The person is placed on a waitlist until the organisation has the capacity to assist.</w:t>
      </w:r>
    </w:p>
    <w:p w14:paraId="0E95D38F" w14:textId="02A1DF35" w:rsidR="00616D84" w:rsidRDefault="00C731B8" w:rsidP="00DC55F0">
      <w:pPr>
        <w:pStyle w:val="ListParagraph"/>
        <w:numPr>
          <w:ilvl w:val="0"/>
          <w:numId w:val="47"/>
        </w:numPr>
        <w:spacing w:before="0" w:after="40"/>
        <w:ind w:left="714" w:hanging="357"/>
        <w:contextualSpacing w:val="0"/>
      </w:pPr>
      <w:r>
        <w:t xml:space="preserve">The person is provided advocacy assistance. </w:t>
      </w:r>
    </w:p>
    <w:p w14:paraId="5056F271" w14:textId="6D858EF1" w:rsidR="002D4D7C" w:rsidRDefault="006759F3" w:rsidP="00550A1F">
      <w:pPr>
        <w:spacing w:before="120"/>
      </w:pPr>
      <w:r>
        <w:t xml:space="preserve">It is important to note that an eligible advocacy request may go through one, two or all three </w:t>
      </w:r>
      <w:r w:rsidR="00A508D9">
        <w:t>of the above processes.</w:t>
      </w:r>
      <w:r w:rsidR="00616D84">
        <w:rPr>
          <w:szCs w:val="22"/>
        </w:rPr>
        <w:t xml:space="preserve"> </w:t>
      </w:r>
      <w:r w:rsidR="008809F6" w:rsidRPr="0004029E">
        <w:t>An active client may still have to wait to be allocated an advocate</w:t>
      </w:r>
      <w:r w:rsidR="00264D04">
        <w:t xml:space="preserve">, depending </w:t>
      </w:r>
      <w:r w:rsidR="008809F6" w:rsidRPr="0004029E">
        <w:t xml:space="preserve">on the organisation’s processes. The time it takes for an advocate to be allocated depends on the size of the organisation and its capacity at that point in time. </w:t>
      </w:r>
    </w:p>
    <w:p w14:paraId="329FB31E" w14:textId="77777777" w:rsidR="008809F6" w:rsidRDefault="008809F6" w:rsidP="00037275">
      <w:r w:rsidRPr="0004029E">
        <w:t xml:space="preserve">It is also important to note that some organisations reported not keeping waiting lists during this </w:t>
      </w:r>
      <w:r w:rsidR="008F1B61" w:rsidRPr="0004029E">
        <w:t>period</w:t>
      </w:r>
      <w:r w:rsidRPr="0004029E">
        <w:t xml:space="preserve"> due to the capacity of the organisation and a</w:t>
      </w:r>
      <w:r w:rsidR="00264D04">
        <w:t>s a</w:t>
      </w:r>
      <w:r w:rsidRPr="0004029E">
        <w:t xml:space="preserve"> strategy to manage demand.</w:t>
      </w:r>
    </w:p>
    <w:p w14:paraId="33A7461D" w14:textId="77777777" w:rsidR="003D20A7" w:rsidRPr="00E3687A" w:rsidRDefault="003D20A7" w:rsidP="00525596">
      <w:pPr>
        <w:pStyle w:val="Heading1"/>
      </w:pPr>
      <w:bookmarkStart w:id="16" w:name="_Toc149667977"/>
      <w:r w:rsidRPr="00E3687A">
        <w:t>Key Findings</w:t>
      </w:r>
      <w:bookmarkEnd w:id="16"/>
    </w:p>
    <w:p w14:paraId="42DECAA9" w14:textId="4F0A4DB3" w:rsidR="00D13B67" w:rsidRDefault="00173DF3" w:rsidP="00037275">
      <w:r w:rsidRPr="00FC23BA">
        <w:t xml:space="preserve">The findings from </w:t>
      </w:r>
      <w:r>
        <w:t xml:space="preserve">the quantitative and qualitative data </w:t>
      </w:r>
      <w:r w:rsidR="00557F73">
        <w:t>were</w:t>
      </w:r>
      <w:r>
        <w:t xml:space="preserve"> complementary </w:t>
      </w:r>
      <w:r w:rsidR="008809F6">
        <w:t xml:space="preserve">and provide valuable </w:t>
      </w:r>
      <w:r w:rsidR="00D13B67">
        <w:t>baseline information</w:t>
      </w:r>
      <w:r w:rsidR="008809F6">
        <w:t xml:space="preserve"> in</w:t>
      </w:r>
      <w:r w:rsidR="00D13B67">
        <w:t xml:space="preserve"> relation </w:t>
      </w:r>
      <w:r w:rsidR="008809F6">
        <w:t xml:space="preserve">to the </w:t>
      </w:r>
      <w:r w:rsidR="00D13B67">
        <w:t xml:space="preserve">national </w:t>
      </w:r>
      <w:r w:rsidR="008809F6">
        <w:t>demand for disability advocacy</w:t>
      </w:r>
      <w:r w:rsidR="00557F73">
        <w:t xml:space="preserve">, </w:t>
      </w:r>
      <w:r w:rsidR="0062076F">
        <w:t xml:space="preserve">levels of unmet demand, </w:t>
      </w:r>
      <w:r w:rsidR="008809F6">
        <w:t>the capacity of organisations to provide advocacy</w:t>
      </w:r>
      <w:r w:rsidR="00557F73">
        <w:t xml:space="preserve"> support and the</w:t>
      </w:r>
      <w:r w:rsidR="00C141AA">
        <w:t xml:space="preserve"> </w:t>
      </w:r>
      <w:r w:rsidR="00557F73">
        <w:t>factors impacting provision of advocacy</w:t>
      </w:r>
      <w:r w:rsidR="008809F6">
        <w:t>. T</w:t>
      </w:r>
      <w:r>
        <w:t xml:space="preserve">he quantitative survey </w:t>
      </w:r>
      <w:r w:rsidR="00557F73">
        <w:t xml:space="preserve">data reported </w:t>
      </w:r>
      <w:r w:rsidR="008809F6">
        <w:t>for the 6</w:t>
      </w:r>
      <w:r w:rsidR="001D0197">
        <w:noBreakHyphen/>
      </w:r>
      <w:r w:rsidR="008809F6">
        <w:t xml:space="preserve">month period (September 2021 – February 2022) </w:t>
      </w:r>
      <w:r>
        <w:t>confirm</w:t>
      </w:r>
      <w:r w:rsidR="00F61917">
        <w:t>s</w:t>
      </w:r>
      <w:r>
        <w:t xml:space="preserve"> </w:t>
      </w:r>
      <w:r w:rsidR="00557F73">
        <w:t xml:space="preserve">previous </w:t>
      </w:r>
      <w:r>
        <w:t xml:space="preserve">anecdotal </w:t>
      </w:r>
      <w:r w:rsidR="00557F73">
        <w:t>reports</w:t>
      </w:r>
      <w:r>
        <w:t xml:space="preserve"> of increas</w:t>
      </w:r>
      <w:r w:rsidR="00557F73">
        <w:t>ing</w:t>
      </w:r>
      <w:r>
        <w:t xml:space="preserve"> demand for disability advocacy and demonstrate that there is significant unmet demand</w:t>
      </w:r>
      <w:r w:rsidR="00886592">
        <w:t xml:space="preserve"> across all funding streams</w:t>
      </w:r>
      <w:r w:rsidR="00557F73">
        <w:t xml:space="preserve">. </w:t>
      </w:r>
      <w:r>
        <w:t xml:space="preserve">The qualitative data </w:t>
      </w:r>
      <w:r w:rsidRPr="00D13B67">
        <w:t>provides insights into</w:t>
      </w:r>
      <w:r>
        <w:t xml:space="preserve"> </w:t>
      </w:r>
      <w:r w:rsidR="009B3F71">
        <w:t xml:space="preserve">intake processes, </w:t>
      </w:r>
      <w:r>
        <w:t>the factors contributing to unmet demand</w:t>
      </w:r>
      <w:r w:rsidR="008809F6">
        <w:t xml:space="preserve"> and the key challenges facing the sector</w:t>
      </w:r>
      <w:r>
        <w:t>.</w:t>
      </w:r>
    </w:p>
    <w:p w14:paraId="78119CF1" w14:textId="415347F3" w:rsidR="00557F73" w:rsidRDefault="00557F73" w:rsidP="00037275">
      <w:r>
        <w:t xml:space="preserve">The </w:t>
      </w:r>
      <w:r w:rsidR="00DF268F">
        <w:t xml:space="preserve">five </w:t>
      </w:r>
      <w:r>
        <w:t>key findings from the Intake Project research</w:t>
      </w:r>
      <w:r w:rsidR="00D13B67">
        <w:t xml:space="preserve"> were as follows</w:t>
      </w:r>
      <w:r>
        <w:t>:</w:t>
      </w:r>
    </w:p>
    <w:p w14:paraId="56BECACD" w14:textId="7FEA17E2" w:rsidR="00557F73" w:rsidRPr="00264D04" w:rsidRDefault="002F081F" w:rsidP="00550A1F">
      <w:pPr>
        <w:pStyle w:val="ListParagraph"/>
        <w:spacing w:before="0" w:after="40"/>
        <w:ind w:left="1174" w:hanging="720"/>
        <w:contextualSpacing w:val="0"/>
      </w:pPr>
      <w:r w:rsidRPr="00264D04">
        <w:t>1.</w:t>
      </w:r>
      <w:r w:rsidR="0015389E">
        <w:t xml:space="preserve">  </w:t>
      </w:r>
      <w:r w:rsidRPr="00264D04">
        <w:t xml:space="preserve"> </w:t>
      </w:r>
      <w:r w:rsidR="00735B1D" w:rsidRPr="00264D04">
        <w:t>An</w:t>
      </w:r>
      <w:r w:rsidR="00557F73" w:rsidRPr="00264D04">
        <w:t xml:space="preserve"> upward trend in demand for disability advocacy assistance</w:t>
      </w:r>
      <w:r w:rsidR="00D13B67" w:rsidRPr="00264D04">
        <w:t xml:space="preserve"> nationally</w:t>
      </w:r>
      <w:r w:rsidR="00162BA8">
        <w:t>.</w:t>
      </w:r>
    </w:p>
    <w:p w14:paraId="7077010C" w14:textId="59562877" w:rsidR="00557F73" w:rsidRPr="00264D04" w:rsidRDefault="00886592" w:rsidP="00550A1F">
      <w:pPr>
        <w:pStyle w:val="ListParagraph"/>
        <w:spacing w:before="0" w:after="40"/>
        <w:ind w:left="1174" w:hanging="720"/>
        <w:contextualSpacing w:val="0"/>
        <w:rPr>
          <w:rFonts w:cs="Helvetica"/>
        </w:rPr>
      </w:pPr>
      <w:r w:rsidRPr="00264D04">
        <w:t xml:space="preserve">2. </w:t>
      </w:r>
      <w:r w:rsidR="0015389E">
        <w:t xml:space="preserve">  </w:t>
      </w:r>
      <w:r w:rsidR="00557F73" w:rsidRPr="00264D04">
        <w:t>Significant unmet demand across all funding streams</w:t>
      </w:r>
      <w:r w:rsidR="00162BA8">
        <w:rPr>
          <w:rFonts w:cs="Helvetica"/>
        </w:rPr>
        <w:t>.</w:t>
      </w:r>
    </w:p>
    <w:p w14:paraId="20701CC0" w14:textId="1E2DFEC1" w:rsidR="00557F73" w:rsidRDefault="002F081F" w:rsidP="00550A1F">
      <w:pPr>
        <w:pStyle w:val="ListParagraph"/>
        <w:spacing w:before="0" w:after="40"/>
        <w:ind w:left="1174" w:hanging="720"/>
        <w:contextualSpacing w:val="0"/>
        <w:rPr>
          <w:rFonts w:eastAsia="Helvetica" w:cs="Helvetica"/>
        </w:rPr>
      </w:pPr>
      <w:r w:rsidRPr="00264D04">
        <w:t>3.</w:t>
      </w:r>
      <w:r w:rsidR="0015389E">
        <w:t xml:space="preserve">  </w:t>
      </w:r>
      <w:r w:rsidRPr="00264D04">
        <w:t xml:space="preserve"> </w:t>
      </w:r>
      <w:r w:rsidR="00557F73" w:rsidRPr="00264D04">
        <w:t xml:space="preserve">NDIS Appeals </w:t>
      </w:r>
      <w:r w:rsidR="00D91E5A">
        <w:t>Program</w:t>
      </w:r>
      <w:r w:rsidR="00557F73" w:rsidRPr="00264D04">
        <w:t xml:space="preserve"> is under the most strain</w:t>
      </w:r>
      <w:r w:rsidR="00162BA8">
        <w:rPr>
          <w:rFonts w:eastAsia="Helvetica" w:cs="Helvetica"/>
        </w:rPr>
        <w:t>.</w:t>
      </w:r>
    </w:p>
    <w:p w14:paraId="110B36B6" w14:textId="4FA401D8" w:rsidR="00220097" w:rsidRPr="00264D04" w:rsidRDefault="00220097" w:rsidP="00550A1F">
      <w:pPr>
        <w:pStyle w:val="ListParagraph"/>
        <w:spacing w:before="0" w:after="40"/>
        <w:ind w:left="1174" w:hanging="720"/>
        <w:contextualSpacing w:val="0"/>
        <w:rPr>
          <w:rFonts w:eastAsia="Helvetica" w:cs="Helvetica"/>
        </w:rPr>
      </w:pPr>
      <w:r>
        <w:t>4</w:t>
      </w:r>
      <w:r w:rsidRPr="006E108D">
        <w:rPr>
          <w:rFonts w:eastAsia="Helvetica" w:cs="Helvetica"/>
        </w:rPr>
        <w:t>.</w:t>
      </w:r>
      <w:r>
        <w:rPr>
          <w:rFonts w:eastAsia="Helvetica" w:cs="Helvetica"/>
        </w:rPr>
        <w:t xml:space="preserve"> </w:t>
      </w:r>
      <w:r w:rsidR="0015389E">
        <w:rPr>
          <w:rFonts w:eastAsia="Helvetica" w:cs="Helvetica"/>
        </w:rPr>
        <w:t xml:space="preserve">  </w:t>
      </w:r>
      <w:r w:rsidR="00274F9E">
        <w:rPr>
          <w:rFonts w:eastAsia="Helvetica" w:cs="Helvetica"/>
        </w:rPr>
        <w:t>A sector that receives a significant number of enquiries including ineligible requests.</w:t>
      </w:r>
    </w:p>
    <w:p w14:paraId="080BC11A" w14:textId="0FBEC230" w:rsidR="00173DF3" w:rsidRPr="00264D04" w:rsidRDefault="00274F9E" w:rsidP="00550A1F">
      <w:pPr>
        <w:pStyle w:val="ListParagraph"/>
        <w:spacing w:before="0" w:after="40"/>
        <w:ind w:left="1174" w:hanging="720"/>
        <w:contextualSpacing w:val="0"/>
        <w:rPr>
          <w:rFonts w:cs="Helvetica"/>
        </w:rPr>
      </w:pPr>
      <w:r>
        <w:t>5</w:t>
      </w:r>
      <w:r w:rsidR="002F081F" w:rsidRPr="00264D04">
        <w:t>.</w:t>
      </w:r>
      <w:r w:rsidR="0015389E">
        <w:t xml:space="preserve">  </w:t>
      </w:r>
      <w:r w:rsidR="002F081F" w:rsidRPr="00264D04">
        <w:t xml:space="preserve"> </w:t>
      </w:r>
      <w:r w:rsidR="00735B1D" w:rsidRPr="00264D04">
        <w:t>A</w:t>
      </w:r>
      <w:r w:rsidR="00557F73" w:rsidRPr="00264D04">
        <w:t xml:space="preserve"> sector overwhelmed by requests for advocacy and information</w:t>
      </w:r>
      <w:r w:rsidR="00162BA8">
        <w:t>.</w:t>
      </w:r>
      <w:r w:rsidR="00575521" w:rsidRPr="00264D04">
        <w:rPr>
          <w:b/>
          <w:bCs/>
        </w:rPr>
        <w:t xml:space="preserve"> </w:t>
      </w:r>
    </w:p>
    <w:p w14:paraId="668CF8BD" w14:textId="77777777" w:rsidR="00173DF3" w:rsidRPr="00E3687A" w:rsidRDefault="004E59E0" w:rsidP="00EB456F">
      <w:pPr>
        <w:pStyle w:val="Heading2"/>
        <w:rPr>
          <w:color w:val="002B45"/>
        </w:rPr>
      </w:pPr>
      <w:bookmarkStart w:id="17" w:name="_Toc149667978"/>
      <w:r w:rsidRPr="00E3687A">
        <w:rPr>
          <w:color w:val="002B45"/>
        </w:rPr>
        <w:lastRenderedPageBreak/>
        <w:t>Quantitative</w:t>
      </w:r>
      <w:r w:rsidR="00173DF3" w:rsidRPr="00E3687A">
        <w:rPr>
          <w:color w:val="002B45"/>
        </w:rPr>
        <w:t xml:space="preserve"> </w:t>
      </w:r>
      <w:r w:rsidR="00886592" w:rsidRPr="00E3687A">
        <w:rPr>
          <w:color w:val="002B45"/>
        </w:rPr>
        <w:t>data trends</w:t>
      </w:r>
      <w:bookmarkEnd w:id="17"/>
    </w:p>
    <w:p w14:paraId="492F5129" w14:textId="3D55603E" w:rsidR="00DB2DD6" w:rsidRPr="00E3687A" w:rsidRDefault="006012BF" w:rsidP="00223511">
      <w:pPr>
        <w:pStyle w:val="Heading4"/>
      </w:pPr>
      <w:r w:rsidRPr="00E3687A">
        <w:t>All r</w:t>
      </w:r>
      <w:r w:rsidR="00DB2DD6" w:rsidRPr="00E3687A">
        <w:t>equests for advocacy support and unmet demand</w:t>
      </w:r>
    </w:p>
    <w:p w14:paraId="37497E51" w14:textId="0B54F63D" w:rsidR="00575521" w:rsidRPr="002D4D7C" w:rsidRDefault="00DC0AF9" w:rsidP="00037275">
      <w:r w:rsidRPr="00DC0AF9">
        <w:rPr>
          <w:lang w:val="en-US"/>
        </w:rPr>
        <w:t>Requests for disability advocacy</w:t>
      </w:r>
      <w:r w:rsidRPr="0035576F">
        <w:rPr>
          <w:lang w:val="en-US"/>
        </w:rPr>
        <w:t xml:space="preserve"> ranged between </w:t>
      </w:r>
      <w:r w:rsidRPr="00DC0AF9">
        <w:rPr>
          <w:lang w:val="en-US"/>
        </w:rPr>
        <w:t>4,500 and 5,800 per month</w:t>
      </w:r>
      <w:r w:rsidRPr="0035576F">
        <w:rPr>
          <w:lang w:val="en-US"/>
        </w:rPr>
        <w:t xml:space="preserve"> across </w:t>
      </w:r>
      <w:r w:rsidR="00B27189">
        <w:rPr>
          <w:lang w:val="en-US"/>
        </w:rPr>
        <w:t xml:space="preserve">the </w:t>
      </w:r>
      <w:r w:rsidRPr="0035576F">
        <w:rPr>
          <w:lang w:val="en-US"/>
        </w:rPr>
        <w:t>39</w:t>
      </w:r>
      <w:r w:rsidR="001D0197">
        <w:rPr>
          <w:lang w:val="en-US"/>
        </w:rPr>
        <w:t> </w:t>
      </w:r>
      <w:r w:rsidR="00B27189">
        <w:rPr>
          <w:lang w:val="en-US"/>
        </w:rPr>
        <w:t xml:space="preserve">responding </w:t>
      </w:r>
      <w:r w:rsidRPr="0035576F">
        <w:rPr>
          <w:lang w:val="en-US"/>
        </w:rPr>
        <w:t>disability advocacy organisations</w:t>
      </w:r>
      <w:r w:rsidR="00B27189">
        <w:rPr>
          <w:lang w:val="en-US"/>
        </w:rPr>
        <w:t xml:space="preserve">. </w:t>
      </w:r>
      <w:r w:rsidR="00B27189">
        <w:t xml:space="preserve">A </w:t>
      </w:r>
      <w:r w:rsidR="00557F73" w:rsidRPr="003E377F">
        <w:t xml:space="preserve">total of </w:t>
      </w:r>
      <w:r w:rsidRPr="003E377F">
        <w:t>30,110</w:t>
      </w:r>
      <w:r>
        <w:t xml:space="preserve"> </w:t>
      </w:r>
      <w:r w:rsidR="00596409">
        <w:t>e</w:t>
      </w:r>
      <w:r w:rsidR="00557F73" w:rsidRPr="003E377F">
        <w:t xml:space="preserve">nquiries </w:t>
      </w:r>
      <w:r w:rsidR="00B27189">
        <w:t xml:space="preserve">was </w:t>
      </w:r>
      <w:r w:rsidR="00557F73">
        <w:t xml:space="preserve">reported for the </w:t>
      </w:r>
      <w:r w:rsidR="00557F73" w:rsidRPr="002D4D7C">
        <w:t>6</w:t>
      </w:r>
      <w:r w:rsidR="00162BA8">
        <w:t>-</w:t>
      </w:r>
      <w:r w:rsidR="00557F73" w:rsidRPr="002D4D7C">
        <w:t>month period across all funding streams</w:t>
      </w:r>
      <w:r w:rsidR="00575521" w:rsidRPr="002D4D7C">
        <w:t xml:space="preserve"> (</w:t>
      </w:r>
      <w:r w:rsidR="00B67DD9">
        <w:t>Table 1</w:t>
      </w:r>
      <w:r w:rsidR="00575521" w:rsidRPr="002D4D7C">
        <w:t>)</w:t>
      </w:r>
      <w:r w:rsidRPr="002D4D7C">
        <w:t xml:space="preserve">. </w:t>
      </w:r>
      <w:r w:rsidR="002B1E12">
        <w:t xml:space="preserve">Of these, </w:t>
      </w:r>
      <w:r w:rsidR="008C7D9E">
        <w:t>17,538 requests were eligible for advocacy</w:t>
      </w:r>
      <w:r w:rsidR="00DA3085">
        <w:t xml:space="preserve"> (</w:t>
      </w:r>
      <w:r w:rsidR="00565200">
        <w:t>58%)</w:t>
      </w:r>
      <w:r w:rsidR="008C7D9E">
        <w:t xml:space="preserve"> and 12,572 requests were ineligible</w:t>
      </w:r>
      <w:r w:rsidR="00565200">
        <w:t xml:space="preserve"> (42%)</w:t>
      </w:r>
      <w:r w:rsidR="008C7D9E">
        <w:t>.</w:t>
      </w:r>
    </w:p>
    <w:p w14:paraId="197FBCE6" w14:textId="42716D1A" w:rsidR="00575521" w:rsidRPr="002D4D7C" w:rsidRDefault="00DC0AF9" w:rsidP="00037275">
      <w:r w:rsidRPr="00F639BB">
        <w:t>There was</w:t>
      </w:r>
      <w:r w:rsidR="00557F73" w:rsidRPr="00F639BB">
        <w:t xml:space="preserve"> an </w:t>
      </w:r>
      <w:r w:rsidR="00557F73" w:rsidRPr="00F639BB">
        <w:rPr>
          <w:bCs/>
        </w:rPr>
        <w:t>upward trend in monthly requests for advocacy</w:t>
      </w:r>
      <w:r w:rsidR="00557F73" w:rsidRPr="00F639BB">
        <w:t xml:space="preserve"> assistance from 3</w:t>
      </w:r>
      <w:r w:rsidR="007B643D">
        <w:t>,</w:t>
      </w:r>
      <w:r w:rsidR="00557F73" w:rsidRPr="00F639BB">
        <w:t>141 in September 2021 to 4</w:t>
      </w:r>
      <w:r w:rsidR="00705C2F">
        <w:t>,</w:t>
      </w:r>
      <w:r w:rsidR="00557F73" w:rsidRPr="00F639BB">
        <w:t>182 in February 2022</w:t>
      </w:r>
      <w:r w:rsidR="00575521" w:rsidRPr="00F639BB">
        <w:t xml:space="preserve"> and an </w:t>
      </w:r>
      <w:r w:rsidR="00557F73" w:rsidRPr="00F639BB">
        <w:t xml:space="preserve">accompanying </w:t>
      </w:r>
      <w:r w:rsidR="00557F73" w:rsidRPr="00F639BB">
        <w:rPr>
          <w:bCs/>
        </w:rPr>
        <w:t xml:space="preserve">downward trend of </w:t>
      </w:r>
      <w:r w:rsidR="00575521" w:rsidRPr="00F639BB">
        <w:rPr>
          <w:bCs/>
        </w:rPr>
        <w:t>fewer</w:t>
      </w:r>
      <w:r w:rsidR="00557F73" w:rsidRPr="00F639BB">
        <w:rPr>
          <w:bCs/>
        </w:rPr>
        <w:t xml:space="preserve"> people becoming advocacy clients</w:t>
      </w:r>
      <w:r w:rsidR="00557F73" w:rsidRPr="00F639BB">
        <w:t xml:space="preserve"> across the period</w:t>
      </w:r>
      <w:r w:rsidRPr="00F639BB">
        <w:t xml:space="preserve"> with a total of 20,923 (or </w:t>
      </w:r>
      <w:r w:rsidR="00A62CB1">
        <w:t>70</w:t>
      </w:r>
      <w:r w:rsidRPr="00F639BB">
        <w:t xml:space="preserve">%) of all </w:t>
      </w:r>
      <w:r w:rsidR="00596409">
        <w:t>e</w:t>
      </w:r>
      <w:r w:rsidRPr="00F639BB">
        <w:t>nquiries not becoming clients</w:t>
      </w:r>
      <w:r w:rsidR="00B27189" w:rsidRPr="00F639BB">
        <w:t xml:space="preserve"> </w:t>
      </w:r>
      <w:r w:rsidR="00557F73" w:rsidRPr="00F639BB">
        <w:t>(Fig</w:t>
      </w:r>
      <w:r w:rsidR="007C32F8" w:rsidRPr="00F639BB">
        <w:t>ure</w:t>
      </w:r>
      <w:r w:rsidR="00557F73" w:rsidRPr="00F639BB">
        <w:t xml:space="preserve"> </w:t>
      </w:r>
      <w:r w:rsidR="00651A30">
        <w:t>2</w:t>
      </w:r>
      <w:r w:rsidR="00557F73" w:rsidRPr="00F639BB">
        <w:t>).</w:t>
      </w:r>
      <w:r w:rsidR="00C13E2C">
        <w:rPr>
          <w:rStyle w:val="FootnoteReference"/>
        </w:rPr>
        <w:footnoteReference w:id="12"/>
      </w:r>
      <w:r w:rsidR="00B27189" w:rsidRPr="00F639BB">
        <w:t xml:space="preserve"> </w:t>
      </w:r>
      <w:r w:rsidR="00651A30">
        <w:t>Figure 2 includes both eligible and ineligible requests for advocacy.</w:t>
      </w:r>
    </w:p>
    <w:p w14:paraId="547E845E" w14:textId="57C8CB95" w:rsidR="002D4D7C" w:rsidRDefault="00735B1D" w:rsidP="00037275">
      <w:r w:rsidRPr="002D4D7C">
        <w:t xml:space="preserve">Of the total 30,110 </w:t>
      </w:r>
      <w:r w:rsidR="00596409">
        <w:t>e</w:t>
      </w:r>
      <w:r w:rsidRPr="002D4D7C">
        <w:t>nquiries for advocacy support</w:t>
      </w:r>
      <w:r w:rsidR="00651A30">
        <w:t>,</w:t>
      </w:r>
      <w:r w:rsidR="00CD38A0">
        <w:t xml:space="preserve">7,538 were eligible to receive assistance, however </w:t>
      </w:r>
      <w:r w:rsidRPr="002D4D7C">
        <w:t>only 9,187 became advocacy clients when they requested it (Fig</w:t>
      </w:r>
      <w:r w:rsidR="007C32F8" w:rsidRPr="002D4D7C">
        <w:t>ure</w:t>
      </w:r>
      <w:r w:rsidRPr="002D4D7C">
        <w:t xml:space="preserve"> </w:t>
      </w:r>
      <w:r w:rsidR="00CD38A0">
        <w:t>3</w:t>
      </w:r>
      <w:r w:rsidRPr="002D4D7C">
        <w:t>).</w:t>
      </w:r>
    </w:p>
    <w:p w14:paraId="14A8E890" w14:textId="41B745F2" w:rsidR="00836E5E" w:rsidRPr="00037275" w:rsidRDefault="002F081F" w:rsidP="00037275">
      <w:pPr>
        <w:rPr>
          <w:rFonts w:cs="Helvetica"/>
        </w:rPr>
      </w:pPr>
      <w:r w:rsidRPr="00886592">
        <w:t xml:space="preserve">All </w:t>
      </w:r>
      <w:r w:rsidR="00596409">
        <w:t>e</w:t>
      </w:r>
      <w:r w:rsidRPr="00886592">
        <w:t>nquiries</w:t>
      </w:r>
      <w:r w:rsidR="005C3E99">
        <w:t>, including</w:t>
      </w:r>
      <w:r w:rsidR="008C7D9E">
        <w:t xml:space="preserve"> ineligible requests,</w:t>
      </w:r>
      <w:r w:rsidR="001D0197">
        <w:t xml:space="preserve"> </w:t>
      </w:r>
      <w:r w:rsidRPr="00886592">
        <w:t>need</w:t>
      </w:r>
      <w:r w:rsidR="00573019">
        <w:t xml:space="preserve"> a level of assessment, </w:t>
      </w:r>
      <w:r w:rsidRPr="00886592">
        <w:t>often at a</w:t>
      </w:r>
      <w:r w:rsidR="0015334B">
        <w:t xml:space="preserve"> substan</w:t>
      </w:r>
      <w:r w:rsidRPr="00886592">
        <w:t>t</w:t>
      </w:r>
      <w:r w:rsidR="0015334B">
        <w:t>ial</w:t>
      </w:r>
      <w:r w:rsidRPr="00886592">
        <w:t xml:space="preserve"> cost in resources, regardless of whether they are accepted for advocacy, and this additional work is not reflected in activity reporting. </w:t>
      </w:r>
    </w:p>
    <w:p w14:paraId="1BB73A4F" w14:textId="5B47DC62" w:rsidR="00E3687A" w:rsidRDefault="000A01ED" w:rsidP="005D2474">
      <w:pPr>
        <w:rPr>
          <w:rFonts w:eastAsiaTheme="majorEastAsia" w:cstheme="majorBidi"/>
          <w:i/>
          <w:color w:val="002B45"/>
          <w:sz w:val="24"/>
        </w:rPr>
      </w:pPr>
      <w:r>
        <w:rPr>
          <w:rFonts w:cs="Helvetica"/>
          <w:szCs w:val="22"/>
        </w:rPr>
        <w:t>On average a</w:t>
      </w:r>
      <w:r w:rsidR="00153715" w:rsidRPr="00153715">
        <w:rPr>
          <w:rFonts w:cs="Helvetica"/>
          <w:szCs w:val="22"/>
        </w:rPr>
        <w:t>cross the 39</w:t>
      </w:r>
      <w:r w:rsidR="00153715" w:rsidRPr="00153715">
        <w:rPr>
          <w:rFonts w:cs="Helvetica"/>
          <w:b/>
          <w:bCs/>
          <w:szCs w:val="22"/>
        </w:rPr>
        <w:t xml:space="preserve"> </w:t>
      </w:r>
      <w:r w:rsidR="00153715" w:rsidRPr="00153715">
        <w:rPr>
          <w:rFonts w:cs="Helvetica"/>
          <w:szCs w:val="22"/>
          <w:lang w:val="en-US"/>
        </w:rPr>
        <w:t>participating disability advocacy organisations</w:t>
      </w:r>
      <w:r w:rsidR="001D0197">
        <w:rPr>
          <w:rFonts w:cs="Helvetica"/>
          <w:szCs w:val="22"/>
          <w:lang w:val="en-US"/>
        </w:rPr>
        <w:t>,</w:t>
      </w:r>
      <w:r w:rsidR="00153715" w:rsidRPr="00153715">
        <w:rPr>
          <w:rFonts w:cs="Helvetica"/>
          <w:szCs w:val="22"/>
          <w:lang w:val="en-US"/>
        </w:rPr>
        <w:t xml:space="preserve"> </w:t>
      </w:r>
      <w:r>
        <w:rPr>
          <w:rFonts w:cs="Helvetica"/>
          <w:szCs w:val="22"/>
          <w:lang w:val="en-US"/>
        </w:rPr>
        <w:t>1</w:t>
      </w:r>
      <w:r w:rsidR="00AF60F1">
        <w:rPr>
          <w:rFonts w:cs="Helvetica"/>
          <w:szCs w:val="22"/>
          <w:lang w:val="en-US"/>
        </w:rPr>
        <w:t>,</w:t>
      </w:r>
      <w:r>
        <w:rPr>
          <w:rFonts w:cs="Helvetica"/>
          <w:szCs w:val="22"/>
          <w:lang w:val="en-US"/>
        </w:rPr>
        <w:t>531</w:t>
      </w:r>
      <w:r w:rsidR="00153715" w:rsidRPr="00153715">
        <w:rPr>
          <w:rFonts w:cs="Helvetica"/>
          <w:szCs w:val="22"/>
          <w:lang w:val="en-US"/>
        </w:rPr>
        <w:t xml:space="preserve"> new </w:t>
      </w:r>
      <w:r w:rsidR="00153715" w:rsidRPr="002D4D7C">
        <w:rPr>
          <w:rFonts w:cs="Helvetica"/>
          <w:szCs w:val="22"/>
          <w:lang w:val="en-US"/>
        </w:rPr>
        <w:t xml:space="preserve">advocacy clients were taken on </w:t>
      </w:r>
      <w:r w:rsidR="00735B1D" w:rsidRPr="002D4D7C">
        <w:rPr>
          <w:rFonts w:cs="Helvetica"/>
          <w:szCs w:val="22"/>
          <w:lang w:val="en-US"/>
        </w:rPr>
        <w:t xml:space="preserve">collectively </w:t>
      </w:r>
      <w:r w:rsidR="00153715" w:rsidRPr="002D4D7C">
        <w:rPr>
          <w:rFonts w:cs="Helvetica"/>
          <w:szCs w:val="22"/>
          <w:lang w:val="en-US"/>
        </w:rPr>
        <w:t>each month (</w:t>
      </w:r>
      <w:r w:rsidR="00162BA8">
        <w:rPr>
          <w:rFonts w:cs="Helvetica"/>
          <w:szCs w:val="22"/>
          <w:lang w:val="en-US"/>
        </w:rPr>
        <w:t>Table 1</w:t>
      </w:r>
      <w:r w:rsidR="007C32F8" w:rsidRPr="002D4D7C">
        <w:rPr>
          <w:rFonts w:cs="Helvetica"/>
          <w:szCs w:val="22"/>
          <w:lang w:val="en-US"/>
        </w:rPr>
        <w:t xml:space="preserve"> and </w:t>
      </w:r>
      <w:r w:rsidR="00162BA8">
        <w:rPr>
          <w:rFonts w:cs="Helvetica"/>
          <w:szCs w:val="22"/>
          <w:lang w:val="en-US"/>
        </w:rPr>
        <w:t xml:space="preserve">Figure </w:t>
      </w:r>
      <w:r w:rsidR="00AF60F1">
        <w:rPr>
          <w:rFonts w:cs="Helvetica"/>
          <w:szCs w:val="22"/>
          <w:lang w:val="en-US"/>
        </w:rPr>
        <w:t>2</w:t>
      </w:r>
      <w:r w:rsidR="00153715" w:rsidRPr="002D4D7C">
        <w:rPr>
          <w:rFonts w:cs="Helvetica"/>
          <w:szCs w:val="22"/>
          <w:lang w:val="en-US"/>
        </w:rPr>
        <w:t xml:space="preserve">). </w:t>
      </w:r>
      <w:r w:rsidR="00CD1D84">
        <w:rPr>
          <w:rFonts w:cs="Helvetica"/>
          <w:szCs w:val="22"/>
          <w:lang w:val="en-US"/>
        </w:rPr>
        <w:t>On average, 3</w:t>
      </w:r>
      <w:r w:rsidR="00402623">
        <w:rPr>
          <w:rFonts w:cs="Helvetica"/>
          <w:szCs w:val="22"/>
          <w:lang w:val="en-US"/>
        </w:rPr>
        <w:t>0</w:t>
      </w:r>
      <w:r w:rsidR="00CD1D84">
        <w:rPr>
          <w:rFonts w:cs="Helvetica"/>
          <w:szCs w:val="22"/>
          <w:lang w:val="en-US"/>
        </w:rPr>
        <w:t xml:space="preserve">% of all </w:t>
      </w:r>
      <w:r w:rsidR="00596409">
        <w:rPr>
          <w:rFonts w:cs="Helvetica"/>
          <w:szCs w:val="22"/>
          <w:lang w:val="en-US"/>
        </w:rPr>
        <w:t>e</w:t>
      </w:r>
      <w:r w:rsidR="004D3B20">
        <w:rPr>
          <w:rFonts w:cs="Helvetica"/>
          <w:szCs w:val="22"/>
          <w:lang w:val="en-US"/>
        </w:rPr>
        <w:t>nquiries</w:t>
      </w:r>
      <w:r w:rsidR="00153715" w:rsidRPr="002D4D7C">
        <w:rPr>
          <w:rFonts w:cs="Helvetica"/>
          <w:szCs w:val="22"/>
          <w:lang w:val="en-US"/>
        </w:rPr>
        <w:t xml:space="preserve"> for support were taken on each month as advocacy clients.</w:t>
      </w:r>
      <w:r w:rsidR="00153715" w:rsidRPr="002D4D7C">
        <w:rPr>
          <w:rStyle w:val="FootnoteReference"/>
          <w:rFonts w:cs="Helvetica"/>
          <w:szCs w:val="22"/>
          <w:lang w:val="en-US"/>
        </w:rPr>
        <w:footnoteReference w:id="13"/>
      </w:r>
      <w:bookmarkStart w:id="18" w:name="_Toc138929601"/>
    </w:p>
    <w:p w14:paraId="5654CE99" w14:textId="5FB9EA4E" w:rsidR="00E3687A" w:rsidRPr="00565E32" w:rsidRDefault="000B0900" w:rsidP="00565E32">
      <w:pPr>
        <w:pStyle w:val="Caption"/>
      </w:pPr>
      <w:bookmarkStart w:id="19" w:name="_Toc149667994"/>
      <w:bookmarkEnd w:id="18"/>
      <w:r w:rsidRPr="00565E32">
        <w:t xml:space="preserve">Table </w:t>
      </w:r>
      <w:r w:rsidR="00FC3DB4">
        <w:fldChar w:fldCharType="begin"/>
      </w:r>
      <w:r w:rsidR="00FC3DB4">
        <w:instrText xml:space="preserve"> SEQ Table \* ARABIC </w:instrText>
      </w:r>
      <w:r w:rsidR="00FC3DB4">
        <w:fldChar w:fldCharType="separate"/>
      </w:r>
      <w:r w:rsidR="00C8748D">
        <w:rPr>
          <w:noProof/>
        </w:rPr>
        <w:t>1</w:t>
      </w:r>
      <w:r w:rsidR="00FC3DB4">
        <w:rPr>
          <w:noProof/>
        </w:rPr>
        <w:fldChar w:fldCharType="end"/>
      </w:r>
      <w:r w:rsidR="0085295B" w:rsidRPr="00565E32">
        <w:t>:</w:t>
      </w:r>
      <w:r w:rsidR="003A3F14" w:rsidRPr="00565E32">
        <w:t xml:space="preserve"> </w:t>
      </w:r>
      <w:r w:rsidR="00E3687A" w:rsidRPr="00565E32">
        <w:t xml:space="preserve">Trends in demand – monthly requests for advocacy support: September 2021 </w:t>
      </w:r>
      <w:r w:rsidR="00E3687A" w:rsidRPr="00565E32">
        <w:softHyphen/>
        <w:t>– February 2022</w:t>
      </w:r>
      <w:bookmarkEnd w:id="19"/>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736"/>
        <w:gridCol w:w="1737"/>
        <w:gridCol w:w="1736"/>
        <w:gridCol w:w="1737"/>
      </w:tblGrid>
      <w:tr w:rsidR="005D2474" w14:paraId="6C4CABD5" w14:textId="77777777" w:rsidTr="00ED044B">
        <w:tc>
          <w:tcPr>
            <w:tcW w:w="2263" w:type="dxa"/>
            <w:tcBorders>
              <w:top w:val="single" w:sz="6" w:space="0" w:color="A6A6A6" w:themeColor="background1" w:themeShade="A6"/>
              <w:bottom w:val="single" w:sz="6" w:space="0" w:color="A6A6A6" w:themeColor="background1" w:themeShade="A6"/>
            </w:tcBorders>
          </w:tcPr>
          <w:p w14:paraId="2FA75F29" w14:textId="5177D5DC" w:rsidR="005D2474" w:rsidRPr="005D2474" w:rsidRDefault="005D2474" w:rsidP="00ED044B">
            <w:pPr>
              <w:spacing w:before="40" w:after="40"/>
              <w:rPr>
                <w:b/>
                <w:bCs/>
              </w:rPr>
            </w:pPr>
            <w:r w:rsidRPr="005D2474">
              <w:rPr>
                <w:b/>
                <w:bCs/>
              </w:rPr>
              <w:t>Month</w:t>
            </w:r>
          </w:p>
        </w:tc>
        <w:tc>
          <w:tcPr>
            <w:tcW w:w="1736" w:type="dxa"/>
            <w:tcBorders>
              <w:top w:val="single" w:sz="6" w:space="0" w:color="A6A6A6" w:themeColor="background1" w:themeShade="A6"/>
              <w:bottom w:val="single" w:sz="6" w:space="0" w:color="A6A6A6" w:themeColor="background1" w:themeShade="A6"/>
            </w:tcBorders>
          </w:tcPr>
          <w:p w14:paraId="42FA767F" w14:textId="7D5436F4" w:rsidR="005D2474" w:rsidRPr="005D2474" w:rsidRDefault="005D2474" w:rsidP="00ED044B">
            <w:pPr>
              <w:spacing w:before="40" w:after="40"/>
              <w:ind w:left="-113" w:right="-113"/>
              <w:jc w:val="center"/>
              <w:rPr>
                <w:b/>
                <w:bCs/>
              </w:rPr>
            </w:pPr>
            <w:r w:rsidRPr="005D2474">
              <w:rPr>
                <w:b/>
                <w:bCs/>
              </w:rPr>
              <w:t>Became an advocacy client</w:t>
            </w:r>
          </w:p>
        </w:tc>
        <w:tc>
          <w:tcPr>
            <w:tcW w:w="1737" w:type="dxa"/>
            <w:tcBorders>
              <w:top w:val="single" w:sz="6" w:space="0" w:color="A6A6A6" w:themeColor="background1" w:themeShade="A6"/>
              <w:bottom w:val="single" w:sz="6" w:space="0" w:color="A6A6A6" w:themeColor="background1" w:themeShade="A6"/>
            </w:tcBorders>
          </w:tcPr>
          <w:p w14:paraId="1DA0AE5F" w14:textId="22CD2D46" w:rsidR="005D2474" w:rsidRPr="005D2474" w:rsidRDefault="005D2474" w:rsidP="00ED044B">
            <w:pPr>
              <w:spacing w:before="40" w:after="40"/>
              <w:ind w:left="-113" w:right="-113"/>
              <w:jc w:val="center"/>
              <w:rPr>
                <w:b/>
                <w:bCs/>
              </w:rPr>
            </w:pPr>
            <w:r w:rsidRPr="005D2474">
              <w:rPr>
                <w:b/>
                <w:bCs/>
              </w:rPr>
              <w:t>Did not become an advocacy client (eligible)</w:t>
            </w:r>
          </w:p>
        </w:tc>
        <w:tc>
          <w:tcPr>
            <w:tcW w:w="1736" w:type="dxa"/>
            <w:tcBorders>
              <w:top w:val="single" w:sz="6" w:space="0" w:color="A6A6A6" w:themeColor="background1" w:themeShade="A6"/>
              <w:bottom w:val="single" w:sz="6" w:space="0" w:color="A6A6A6" w:themeColor="background1" w:themeShade="A6"/>
            </w:tcBorders>
          </w:tcPr>
          <w:p w14:paraId="384E29E2" w14:textId="344E8902" w:rsidR="005D2474" w:rsidRPr="005D2474" w:rsidRDefault="005D2474" w:rsidP="00ED044B">
            <w:pPr>
              <w:spacing w:before="40" w:after="40"/>
              <w:ind w:left="-113" w:right="-113"/>
              <w:jc w:val="center"/>
              <w:rPr>
                <w:b/>
                <w:bCs/>
              </w:rPr>
            </w:pPr>
            <w:r w:rsidRPr="005D2474">
              <w:rPr>
                <w:b/>
                <w:bCs/>
              </w:rPr>
              <w:t>Ineligible request</w:t>
            </w:r>
          </w:p>
        </w:tc>
        <w:tc>
          <w:tcPr>
            <w:tcW w:w="1737" w:type="dxa"/>
            <w:tcBorders>
              <w:top w:val="single" w:sz="6" w:space="0" w:color="A6A6A6" w:themeColor="background1" w:themeShade="A6"/>
              <w:bottom w:val="single" w:sz="6" w:space="0" w:color="A6A6A6" w:themeColor="background1" w:themeShade="A6"/>
            </w:tcBorders>
          </w:tcPr>
          <w:p w14:paraId="29A9A5DC" w14:textId="43EADC81" w:rsidR="005D2474" w:rsidRPr="005D2474" w:rsidRDefault="005D2474" w:rsidP="00ED044B">
            <w:pPr>
              <w:spacing w:before="40" w:after="40"/>
              <w:ind w:left="-113" w:right="-113"/>
              <w:jc w:val="center"/>
              <w:rPr>
                <w:b/>
                <w:bCs/>
              </w:rPr>
            </w:pPr>
            <w:r w:rsidRPr="005D2474">
              <w:rPr>
                <w:b/>
                <w:bCs/>
              </w:rPr>
              <w:t>TOTAL requests</w:t>
            </w:r>
          </w:p>
        </w:tc>
      </w:tr>
      <w:tr w:rsidR="005D2474" w14:paraId="1211CE08" w14:textId="77777777" w:rsidTr="00ED044B">
        <w:tc>
          <w:tcPr>
            <w:tcW w:w="2263" w:type="dxa"/>
            <w:tcBorders>
              <w:top w:val="single" w:sz="6" w:space="0" w:color="A6A6A6" w:themeColor="background1" w:themeShade="A6"/>
              <w:bottom w:val="single" w:sz="6" w:space="0" w:color="A6A6A6" w:themeColor="background1" w:themeShade="A6"/>
            </w:tcBorders>
          </w:tcPr>
          <w:p w14:paraId="5468EC16" w14:textId="5821D7A5" w:rsidR="005D2474" w:rsidRPr="005D2474" w:rsidRDefault="005D2474" w:rsidP="00ED044B">
            <w:pPr>
              <w:spacing w:before="40" w:after="40"/>
              <w:rPr>
                <w:b/>
                <w:bCs/>
              </w:rPr>
            </w:pPr>
            <w:r w:rsidRPr="005D2474">
              <w:rPr>
                <w:b/>
                <w:bCs/>
                <w:szCs w:val="22"/>
              </w:rPr>
              <w:t>September 2021</w:t>
            </w:r>
          </w:p>
        </w:tc>
        <w:tc>
          <w:tcPr>
            <w:tcW w:w="1736" w:type="dxa"/>
            <w:tcBorders>
              <w:top w:val="single" w:sz="6" w:space="0" w:color="A6A6A6" w:themeColor="background1" w:themeShade="A6"/>
              <w:bottom w:val="single" w:sz="6" w:space="0" w:color="A6A6A6" w:themeColor="background1" w:themeShade="A6"/>
            </w:tcBorders>
          </w:tcPr>
          <w:p w14:paraId="5835DC6F" w14:textId="255AA75D" w:rsidR="005D2474" w:rsidRDefault="005D2474" w:rsidP="00ED044B">
            <w:pPr>
              <w:spacing w:before="40" w:after="40"/>
              <w:jc w:val="center"/>
            </w:pPr>
            <w:r w:rsidRPr="008D1EFE">
              <w:rPr>
                <w:szCs w:val="22"/>
              </w:rPr>
              <w:t>1</w:t>
            </w:r>
            <w:r>
              <w:rPr>
                <w:szCs w:val="22"/>
              </w:rPr>
              <w:t>,</w:t>
            </w:r>
            <w:r w:rsidRPr="008D1EFE">
              <w:rPr>
                <w:szCs w:val="22"/>
              </w:rPr>
              <w:t>791 (36%)</w:t>
            </w:r>
          </w:p>
        </w:tc>
        <w:tc>
          <w:tcPr>
            <w:tcW w:w="1737" w:type="dxa"/>
            <w:tcBorders>
              <w:top w:val="single" w:sz="6" w:space="0" w:color="A6A6A6" w:themeColor="background1" w:themeShade="A6"/>
              <w:bottom w:val="single" w:sz="6" w:space="0" w:color="A6A6A6" w:themeColor="background1" w:themeShade="A6"/>
            </w:tcBorders>
          </w:tcPr>
          <w:p w14:paraId="2556835D" w14:textId="21D36D22" w:rsidR="005D2474" w:rsidRDefault="005D2474" w:rsidP="00ED044B">
            <w:pPr>
              <w:spacing w:before="40" w:after="40"/>
              <w:jc w:val="center"/>
            </w:pPr>
            <w:r>
              <w:rPr>
                <w:szCs w:val="22"/>
              </w:rPr>
              <w:t>1,237</w:t>
            </w:r>
            <w:r w:rsidRPr="008D1EFE">
              <w:rPr>
                <w:szCs w:val="22"/>
              </w:rPr>
              <w:t xml:space="preserve"> (</w:t>
            </w:r>
            <w:r>
              <w:rPr>
                <w:szCs w:val="22"/>
              </w:rPr>
              <w:t>25</w:t>
            </w:r>
            <w:r w:rsidRPr="008D1EFE">
              <w:rPr>
                <w:szCs w:val="22"/>
              </w:rPr>
              <w:t>%)</w:t>
            </w:r>
          </w:p>
        </w:tc>
        <w:tc>
          <w:tcPr>
            <w:tcW w:w="1736" w:type="dxa"/>
            <w:tcBorders>
              <w:top w:val="single" w:sz="6" w:space="0" w:color="A6A6A6" w:themeColor="background1" w:themeShade="A6"/>
              <w:bottom w:val="single" w:sz="6" w:space="0" w:color="A6A6A6" w:themeColor="background1" w:themeShade="A6"/>
            </w:tcBorders>
          </w:tcPr>
          <w:p w14:paraId="02FA55FD" w14:textId="470E7CBB" w:rsidR="005D2474" w:rsidRDefault="005D2474" w:rsidP="00ED044B">
            <w:pPr>
              <w:spacing w:before="40" w:after="40"/>
              <w:jc w:val="center"/>
            </w:pPr>
            <w:r>
              <w:rPr>
                <w:szCs w:val="22"/>
              </w:rPr>
              <w:t>1,904 (39%)</w:t>
            </w:r>
          </w:p>
        </w:tc>
        <w:tc>
          <w:tcPr>
            <w:tcW w:w="1737" w:type="dxa"/>
            <w:tcBorders>
              <w:top w:val="single" w:sz="6" w:space="0" w:color="A6A6A6" w:themeColor="background1" w:themeShade="A6"/>
              <w:bottom w:val="single" w:sz="6" w:space="0" w:color="A6A6A6" w:themeColor="background1" w:themeShade="A6"/>
            </w:tcBorders>
          </w:tcPr>
          <w:p w14:paraId="58C17E29" w14:textId="11D3E170" w:rsidR="005D2474" w:rsidRDefault="005D2474" w:rsidP="00ED044B">
            <w:pPr>
              <w:spacing w:before="40" w:after="40"/>
              <w:jc w:val="center"/>
            </w:pPr>
            <w:r w:rsidRPr="008D1EFE">
              <w:rPr>
                <w:szCs w:val="22"/>
              </w:rPr>
              <w:t>4</w:t>
            </w:r>
            <w:r>
              <w:rPr>
                <w:szCs w:val="22"/>
              </w:rPr>
              <w:t>,</w:t>
            </w:r>
            <w:r w:rsidRPr="008D1EFE">
              <w:rPr>
                <w:szCs w:val="22"/>
              </w:rPr>
              <w:t>932</w:t>
            </w:r>
          </w:p>
        </w:tc>
      </w:tr>
      <w:tr w:rsidR="005D2474" w14:paraId="55C34E09" w14:textId="77777777" w:rsidTr="00ED044B">
        <w:tc>
          <w:tcPr>
            <w:tcW w:w="2263" w:type="dxa"/>
            <w:tcBorders>
              <w:top w:val="single" w:sz="6" w:space="0" w:color="A6A6A6" w:themeColor="background1" w:themeShade="A6"/>
              <w:bottom w:val="single" w:sz="6" w:space="0" w:color="A6A6A6" w:themeColor="background1" w:themeShade="A6"/>
            </w:tcBorders>
          </w:tcPr>
          <w:p w14:paraId="5019B8EF" w14:textId="087C2E74" w:rsidR="005D2474" w:rsidRPr="005D2474" w:rsidRDefault="005D2474" w:rsidP="00ED044B">
            <w:pPr>
              <w:spacing w:before="40" w:after="40"/>
              <w:rPr>
                <w:b/>
                <w:bCs/>
              </w:rPr>
            </w:pPr>
            <w:r w:rsidRPr="005D2474">
              <w:rPr>
                <w:b/>
                <w:bCs/>
                <w:szCs w:val="22"/>
              </w:rPr>
              <w:t>October 2021</w:t>
            </w:r>
          </w:p>
        </w:tc>
        <w:tc>
          <w:tcPr>
            <w:tcW w:w="1736" w:type="dxa"/>
            <w:tcBorders>
              <w:top w:val="single" w:sz="6" w:space="0" w:color="A6A6A6" w:themeColor="background1" w:themeShade="A6"/>
              <w:bottom w:val="single" w:sz="6" w:space="0" w:color="A6A6A6" w:themeColor="background1" w:themeShade="A6"/>
            </w:tcBorders>
          </w:tcPr>
          <w:p w14:paraId="05D8933A" w14:textId="1F0EC46D" w:rsidR="005D2474" w:rsidRDefault="005D2474" w:rsidP="00ED044B">
            <w:pPr>
              <w:spacing w:before="40" w:after="40"/>
              <w:jc w:val="center"/>
            </w:pPr>
            <w:r w:rsidRPr="008D1EFE">
              <w:rPr>
                <w:szCs w:val="22"/>
              </w:rPr>
              <w:t>1</w:t>
            </w:r>
            <w:r>
              <w:rPr>
                <w:szCs w:val="22"/>
              </w:rPr>
              <w:t>,</w:t>
            </w:r>
            <w:r w:rsidRPr="008D1EFE">
              <w:rPr>
                <w:szCs w:val="22"/>
              </w:rPr>
              <w:t>643 (36%)</w:t>
            </w:r>
          </w:p>
        </w:tc>
        <w:tc>
          <w:tcPr>
            <w:tcW w:w="1737" w:type="dxa"/>
            <w:tcBorders>
              <w:top w:val="single" w:sz="6" w:space="0" w:color="A6A6A6" w:themeColor="background1" w:themeShade="A6"/>
              <w:bottom w:val="single" w:sz="6" w:space="0" w:color="A6A6A6" w:themeColor="background1" w:themeShade="A6"/>
            </w:tcBorders>
          </w:tcPr>
          <w:p w14:paraId="6094C8D9" w14:textId="14924A7D" w:rsidR="005D2474" w:rsidRDefault="005D2474" w:rsidP="00ED044B">
            <w:pPr>
              <w:spacing w:before="40" w:after="40"/>
              <w:jc w:val="center"/>
            </w:pPr>
            <w:r>
              <w:rPr>
                <w:szCs w:val="22"/>
              </w:rPr>
              <w:t>1,773</w:t>
            </w:r>
            <w:r w:rsidRPr="008D1EFE">
              <w:rPr>
                <w:szCs w:val="22"/>
              </w:rPr>
              <w:t xml:space="preserve"> (</w:t>
            </w:r>
            <w:r>
              <w:rPr>
                <w:szCs w:val="22"/>
              </w:rPr>
              <w:t>39</w:t>
            </w:r>
            <w:r w:rsidRPr="008D1EFE">
              <w:rPr>
                <w:szCs w:val="22"/>
              </w:rPr>
              <w:t>%)</w:t>
            </w:r>
          </w:p>
        </w:tc>
        <w:tc>
          <w:tcPr>
            <w:tcW w:w="1736" w:type="dxa"/>
            <w:tcBorders>
              <w:top w:val="single" w:sz="6" w:space="0" w:color="A6A6A6" w:themeColor="background1" w:themeShade="A6"/>
              <w:bottom w:val="single" w:sz="6" w:space="0" w:color="A6A6A6" w:themeColor="background1" w:themeShade="A6"/>
            </w:tcBorders>
          </w:tcPr>
          <w:p w14:paraId="46EA1030" w14:textId="4B405C6D" w:rsidR="005D2474" w:rsidRDefault="005D2474" w:rsidP="00ED044B">
            <w:pPr>
              <w:spacing w:before="40" w:after="40"/>
              <w:jc w:val="center"/>
            </w:pPr>
            <w:r>
              <w:rPr>
                <w:szCs w:val="22"/>
              </w:rPr>
              <w:t>1,100 (25%)</w:t>
            </w:r>
          </w:p>
        </w:tc>
        <w:tc>
          <w:tcPr>
            <w:tcW w:w="1737" w:type="dxa"/>
            <w:tcBorders>
              <w:top w:val="single" w:sz="6" w:space="0" w:color="A6A6A6" w:themeColor="background1" w:themeShade="A6"/>
              <w:bottom w:val="single" w:sz="6" w:space="0" w:color="A6A6A6" w:themeColor="background1" w:themeShade="A6"/>
            </w:tcBorders>
          </w:tcPr>
          <w:p w14:paraId="1C7BD5BC" w14:textId="7F269238" w:rsidR="005D2474" w:rsidRDefault="005D2474" w:rsidP="00ED044B">
            <w:pPr>
              <w:spacing w:before="40" w:after="40"/>
              <w:jc w:val="center"/>
            </w:pPr>
            <w:r w:rsidRPr="008D1EFE">
              <w:rPr>
                <w:szCs w:val="22"/>
              </w:rPr>
              <w:t>4</w:t>
            </w:r>
            <w:r>
              <w:rPr>
                <w:szCs w:val="22"/>
              </w:rPr>
              <w:t>,</w:t>
            </w:r>
            <w:r w:rsidRPr="008D1EFE">
              <w:rPr>
                <w:szCs w:val="22"/>
              </w:rPr>
              <w:t>516</w:t>
            </w:r>
          </w:p>
        </w:tc>
      </w:tr>
      <w:tr w:rsidR="005D2474" w14:paraId="38BC2263" w14:textId="77777777" w:rsidTr="00ED044B">
        <w:tc>
          <w:tcPr>
            <w:tcW w:w="2263" w:type="dxa"/>
            <w:tcBorders>
              <w:top w:val="single" w:sz="6" w:space="0" w:color="A6A6A6" w:themeColor="background1" w:themeShade="A6"/>
              <w:bottom w:val="single" w:sz="6" w:space="0" w:color="A6A6A6" w:themeColor="background1" w:themeShade="A6"/>
            </w:tcBorders>
          </w:tcPr>
          <w:p w14:paraId="409586B6" w14:textId="05C45945" w:rsidR="005D2474" w:rsidRPr="005D2474" w:rsidRDefault="005D2474" w:rsidP="00ED044B">
            <w:pPr>
              <w:spacing w:before="40" w:after="40"/>
              <w:rPr>
                <w:b/>
                <w:bCs/>
              </w:rPr>
            </w:pPr>
            <w:r w:rsidRPr="005D2474">
              <w:rPr>
                <w:b/>
                <w:bCs/>
                <w:szCs w:val="22"/>
              </w:rPr>
              <w:t>November 2021</w:t>
            </w:r>
          </w:p>
        </w:tc>
        <w:tc>
          <w:tcPr>
            <w:tcW w:w="1736" w:type="dxa"/>
            <w:tcBorders>
              <w:top w:val="single" w:sz="6" w:space="0" w:color="A6A6A6" w:themeColor="background1" w:themeShade="A6"/>
              <w:bottom w:val="single" w:sz="6" w:space="0" w:color="A6A6A6" w:themeColor="background1" w:themeShade="A6"/>
            </w:tcBorders>
          </w:tcPr>
          <w:p w14:paraId="435DCCFB" w14:textId="58A16755" w:rsidR="005D2474" w:rsidRDefault="005D2474" w:rsidP="00ED044B">
            <w:pPr>
              <w:spacing w:before="40" w:after="40"/>
              <w:jc w:val="center"/>
            </w:pPr>
            <w:r w:rsidRPr="008D1EFE">
              <w:rPr>
                <w:szCs w:val="22"/>
              </w:rPr>
              <w:t>1</w:t>
            </w:r>
            <w:r>
              <w:rPr>
                <w:szCs w:val="22"/>
              </w:rPr>
              <w:t>,</w:t>
            </w:r>
            <w:r w:rsidRPr="008D1EFE">
              <w:rPr>
                <w:szCs w:val="22"/>
              </w:rPr>
              <w:t>637 (31%)</w:t>
            </w:r>
          </w:p>
        </w:tc>
        <w:tc>
          <w:tcPr>
            <w:tcW w:w="1737" w:type="dxa"/>
            <w:tcBorders>
              <w:top w:val="single" w:sz="6" w:space="0" w:color="A6A6A6" w:themeColor="background1" w:themeShade="A6"/>
              <w:bottom w:val="single" w:sz="6" w:space="0" w:color="A6A6A6" w:themeColor="background1" w:themeShade="A6"/>
            </w:tcBorders>
          </w:tcPr>
          <w:p w14:paraId="008DA35C" w14:textId="43061BB8" w:rsidR="005D2474" w:rsidRDefault="005D2474" w:rsidP="00ED044B">
            <w:pPr>
              <w:spacing w:before="40" w:after="40"/>
              <w:jc w:val="center"/>
            </w:pPr>
            <w:r>
              <w:rPr>
                <w:szCs w:val="22"/>
              </w:rPr>
              <w:t>1,450</w:t>
            </w:r>
            <w:r w:rsidRPr="008D1EFE">
              <w:rPr>
                <w:szCs w:val="22"/>
              </w:rPr>
              <w:t xml:space="preserve"> (</w:t>
            </w:r>
            <w:r>
              <w:rPr>
                <w:szCs w:val="22"/>
              </w:rPr>
              <w:t>27</w:t>
            </w:r>
            <w:r w:rsidRPr="008D1EFE">
              <w:rPr>
                <w:szCs w:val="22"/>
              </w:rPr>
              <w:t>%)</w:t>
            </w:r>
          </w:p>
        </w:tc>
        <w:tc>
          <w:tcPr>
            <w:tcW w:w="1736" w:type="dxa"/>
            <w:tcBorders>
              <w:top w:val="single" w:sz="6" w:space="0" w:color="A6A6A6" w:themeColor="background1" w:themeShade="A6"/>
              <w:bottom w:val="single" w:sz="6" w:space="0" w:color="A6A6A6" w:themeColor="background1" w:themeShade="A6"/>
            </w:tcBorders>
          </w:tcPr>
          <w:p w14:paraId="54C0C2A8" w14:textId="5C6234A3" w:rsidR="005D2474" w:rsidRDefault="005D2474" w:rsidP="00ED044B">
            <w:pPr>
              <w:spacing w:before="40" w:after="40"/>
              <w:jc w:val="center"/>
            </w:pPr>
            <w:r>
              <w:rPr>
                <w:szCs w:val="22"/>
              </w:rPr>
              <w:t>2,208 (42%)</w:t>
            </w:r>
          </w:p>
        </w:tc>
        <w:tc>
          <w:tcPr>
            <w:tcW w:w="1737" w:type="dxa"/>
            <w:tcBorders>
              <w:top w:val="single" w:sz="6" w:space="0" w:color="A6A6A6" w:themeColor="background1" w:themeShade="A6"/>
              <w:bottom w:val="single" w:sz="6" w:space="0" w:color="A6A6A6" w:themeColor="background1" w:themeShade="A6"/>
            </w:tcBorders>
          </w:tcPr>
          <w:p w14:paraId="01F896C1" w14:textId="3E8A4667" w:rsidR="005D2474" w:rsidRDefault="005D2474" w:rsidP="00ED044B">
            <w:pPr>
              <w:spacing w:before="40" w:after="40"/>
              <w:jc w:val="center"/>
            </w:pPr>
            <w:r w:rsidRPr="008D1EFE">
              <w:rPr>
                <w:szCs w:val="22"/>
              </w:rPr>
              <w:t>5</w:t>
            </w:r>
            <w:r>
              <w:rPr>
                <w:szCs w:val="22"/>
              </w:rPr>
              <w:t>,</w:t>
            </w:r>
            <w:r w:rsidRPr="008D1EFE">
              <w:rPr>
                <w:szCs w:val="22"/>
              </w:rPr>
              <w:t>295</w:t>
            </w:r>
          </w:p>
        </w:tc>
      </w:tr>
      <w:tr w:rsidR="005D2474" w14:paraId="79C1EC28" w14:textId="77777777" w:rsidTr="00ED044B">
        <w:tc>
          <w:tcPr>
            <w:tcW w:w="2263" w:type="dxa"/>
            <w:tcBorders>
              <w:top w:val="single" w:sz="6" w:space="0" w:color="A6A6A6" w:themeColor="background1" w:themeShade="A6"/>
              <w:bottom w:val="single" w:sz="6" w:space="0" w:color="A6A6A6" w:themeColor="background1" w:themeShade="A6"/>
            </w:tcBorders>
          </w:tcPr>
          <w:p w14:paraId="247FF341" w14:textId="59BBBA8D" w:rsidR="005D2474" w:rsidRPr="005D2474" w:rsidRDefault="005D2474" w:rsidP="00ED044B">
            <w:pPr>
              <w:spacing w:before="40" w:after="40"/>
              <w:rPr>
                <w:b/>
                <w:bCs/>
              </w:rPr>
            </w:pPr>
            <w:r w:rsidRPr="005D2474">
              <w:rPr>
                <w:b/>
                <w:bCs/>
                <w:szCs w:val="22"/>
              </w:rPr>
              <w:t>December 2021</w:t>
            </w:r>
          </w:p>
        </w:tc>
        <w:tc>
          <w:tcPr>
            <w:tcW w:w="1736" w:type="dxa"/>
            <w:tcBorders>
              <w:top w:val="single" w:sz="6" w:space="0" w:color="A6A6A6" w:themeColor="background1" w:themeShade="A6"/>
              <w:bottom w:val="single" w:sz="6" w:space="0" w:color="A6A6A6" w:themeColor="background1" w:themeShade="A6"/>
            </w:tcBorders>
          </w:tcPr>
          <w:p w14:paraId="5BA3D370" w14:textId="11F0AAF6" w:rsidR="005D2474" w:rsidRDefault="005D2474" w:rsidP="00ED044B">
            <w:pPr>
              <w:spacing w:before="40" w:after="40"/>
              <w:jc w:val="center"/>
            </w:pPr>
            <w:r w:rsidRPr="008D1EFE">
              <w:rPr>
                <w:szCs w:val="22"/>
              </w:rPr>
              <w:t>1</w:t>
            </w:r>
            <w:r>
              <w:rPr>
                <w:szCs w:val="22"/>
              </w:rPr>
              <w:t>,</w:t>
            </w:r>
            <w:r w:rsidRPr="008D1EFE">
              <w:rPr>
                <w:szCs w:val="22"/>
              </w:rPr>
              <w:t>097 (23%)</w:t>
            </w:r>
          </w:p>
        </w:tc>
        <w:tc>
          <w:tcPr>
            <w:tcW w:w="1737" w:type="dxa"/>
            <w:tcBorders>
              <w:top w:val="single" w:sz="6" w:space="0" w:color="A6A6A6" w:themeColor="background1" w:themeShade="A6"/>
              <w:bottom w:val="single" w:sz="6" w:space="0" w:color="A6A6A6" w:themeColor="background1" w:themeShade="A6"/>
            </w:tcBorders>
          </w:tcPr>
          <w:p w14:paraId="36F34CD3" w14:textId="58DB5CE2" w:rsidR="005D2474" w:rsidRDefault="005D2474" w:rsidP="00ED044B">
            <w:pPr>
              <w:spacing w:before="40" w:after="40"/>
              <w:jc w:val="center"/>
            </w:pPr>
            <w:r>
              <w:rPr>
                <w:szCs w:val="22"/>
              </w:rPr>
              <w:t>1,269</w:t>
            </w:r>
            <w:r w:rsidRPr="008D1EFE">
              <w:rPr>
                <w:szCs w:val="22"/>
              </w:rPr>
              <w:t xml:space="preserve"> (</w:t>
            </w:r>
            <w:r>
              <w:rPr>
                <w:szCs w:val="22"/>
              </w:rPr>
              <w:t>27</w:t>
            </w:r>
            <w:r w:rsidRPr="008D1EFE">
              <w:rPr>
                <w:szCs w:val="22"/>
              </w:rPr>
              <w:t>%)</w:t>
            </w:r>
          </w:p>
        </w:tc>
        <w:tc>
          <w:tcPr>
            <w:tcW w:w="1736" w:type="dxa"/>
            <w:tcBorders>
              <w:top w:val="single" w:sz="6" w:space="0" w:color="A6A6A6" w:themeColor="background1" w:themeShade="A6"/>
              <w:bottom w:val="single" w:sz="6" w:space="0" w:color="A6A6A6" w:themeColor="background1" w:themeShade="A6"/>
            </w:tcBorders>
          </w:tcPr>
          <w:p w14:paraId="2ED70C07" w14:textId="728728CF" w:rsidR="005D2474" w:rsidRDefault="005D2474" w:rsidP="00ED044B">
            <w:pPr>
              <w:spacing w:before="40" w:after="40"/>
              <w:jc w:val="center"/>
            </w:pPr>
            <w:r>
              <w:rPr>
                <w:szCs w:val="22"/>
              </w:rPr>
              <w:t>2,325 (50%)</w:t>
            </w:r>
          </w:p>
        </w:tc>
        <w:tc>
          <w:tcPr>
            <w:tcW w:w="1737" w:type="dxa"/>
            <w:tcBorders>
              <w:top w:val="single" w:sz="6" w:space="0" w:color="A6A6A6" w:themeColor="background1" w:themeShade="A6"/>
              <w:bottom w:val="single" w:sz="6" w:space="0" w:color="A6A6A6" w:themeColor="background1" w:themeShade="A6"/>
            </w:tcBorders>
          </w:tcPr>
          <w:p w14:paraId="0AF52610" w14:textId="46357DD1" w:rsidR="005D2474" w:rsidRDefault="005D2474" w:rsidP="00ED044B">
            <w:pPr>
              <w:spacing w:before="40" w:after="40"/>
              <w:jc w:val="center"/>
            </w:pPr>
            <w:r w:rsidRPr="008D1EFE">
              <w:rPr>
                <w:szCs w:val="22"/>
              </w:rPr>
              <w:t>4</w:t>
            </w:r>
            <w:r>
              <w:rPr>
                <w:szCs w:val="22"/>
              </w:rPr>
              <w:t>,</w:t>
            </w:r>
            <w:r w:rsidRPr="008D1EFE">
              <w:rPr>
                <w:szCs w:val="22"/>
              </w:rPr>
              <w:t>691</w:t>
            </w:r>
          </w:p>
        </w:tc>
      </w:tr>
      <w:tr w:rsidR="005D2474" w14:paraId="04065FE3" w14:textId="77777777" w:rsidTr="00ED044B">
        <w:tc>
          <w:tcPr>
            <w:tcW w:w="2263" w:type="dxa"/>
            <w:tcBorders>
              <w:top w:val="single" w:sz="6" w:space="0" w:color="A6A6A6" w:themeColor="background1" w:themeShade="A6"/>
              <w:bottom w:val="single" w:sz="6" w:space="0" w:color="A6A6A6" w:themeColor="background1" w:themeShade="A6"/>
            </w:tcBorders>
          </w:tcPr>
          <w:p w14:paraId="1F8DAB27" w14:textId="0D289511" w:rsidR="005D2474" w:rsidRPr="005D2474" w:rsidRDefault="005D2474" w:rsidP="00ED044B">
            <w:pPr>
              <w:spacing w:before="40" w:after="40"/>
              <w:rPr>
                <w:b/>
                <w:bCs/>
              </w:rPr>
            </w:pPr>
            <w:r w:rsidRPr="005D2474">
              <w:rPr>
                <w:b/>
                <w:bCs/>
                <w:szCs w:val="22"/>
              </w:rPr>
              <w:t>January 2022</w:t>
            </w:r>
          </w:p>
        </w:tc>
        <w:tc>
          <w:tcPr>
            <w:tcW w:w="1736" w:type="dxa"/>
            <w:tcBorders>
              <w:top w:val="single" w:sz="6" w:space="0" w:color="A6A6A6" w:themeColor="background1" w:themeShade="A6"/>
              <w:bottom w:val="single" w:sz="6" w:space="0" w:color="A6A6A6" w:themeColor="background1" w:themeShade="A6"/>
            </w:tcBorders>
          </w:tcPr>
          <w:p w14:paraId="18EBAAF2" w14:textId="68EB745B" w:rsidR="005D2474" w:rsidRDefault="005D2474" w:rsidP="00ED044B">
            <w:pPr>
              <w:spacing w:before="40" w:after="40"/>
              <w:jc w:val="center"/>
            </w:pPr>
            <w:r w:rsidRPr="008D1EFE">
              <w:rPr>
                <w:szCs w:val="22"/>
              </w:rPr>
              <w:t>1</w:t>
            </w:r>
            <w:r>
              <w:rPr>
                <w:szCs w:val="22"/>
              </w:rPr>
              <w:t>,</w:t>
            </w:r>
            <w:r w:rsidRPr="008D1EFE">
              <w:rPr>
                <w:szCs w:val="22"/>
              </w:rPr>
              <w:t>405 (29%)</w:t>
            </w:r>
          </w:p>
        </w:tc>
        <w:tc>
          <w:tcPr>
            <w:tcW w:w="1737" w:type="dxa"/>
            <w:tcBorders>
              <w:top w:val="single" w:sz="6" w:space="0" w:color="A6A6A6" w:themeColor="background1" w:themeShade="A6"/>
              <w:bottom w:val="single" w:sz="6" w:space="0" w:color="A6A6A6" w:themeColor="background1" w:themeShade="A6"/>
            </w:tcBorders>
          </w:tcPr>
          <w:p w14:paraId="2409CD19" w14:textId="2BDBB654" w:rsidR="005D2474" w:rsidRDefault="005D2474" w:rsidP="00ED044B">
            <w:pPr>
              <w:spacing w:before="40" w:after="40"/>
              <w:jc w:val="center"/>
            </w:pPr>
            <w:r>
              <w:rPr>
                <w:szCs w:val="22"/>
              </w:rPr>
              <w:t>1,271</w:t>
            </w:r>
            <w:r w:rsidRPr="008D1EFE">
              <w:rPr>
                <w:szCs w:val="22"/>
              </w:rPr>
              <w:t xml:space="preserve"> (</w:t>
            </w:r>
            <w:r>
              <w:rPr>
                <w:szCs w:val="22"/>
              </w:rPr>
              <w:t>26</w:t>
            </w:r>
            <w:r w:rsidRPr="008D1EFE">
              <w:rPr>
                <w:szCs w:val="22"/>
              </w:rPr>
              <w:t>%)</w:t>
            </w:r>
          </w:p>
        </w:tc>
        <w:tc>
          <w:tcPr>
            <w:tcW w:w="1736" w:type="dxa"/>
            <w:tcBorders>
              <w:top w:val="single" w:sz="6" w:space="0" w:color="A6A6A6" w:themeColor="background1" w:themeShade="A6"/>
              <w:bottom w:val="single" w:sz="6" w:space="0" w:color="A6A6A6" w:themeColor="background1" w:themeShade="A6"/>
            </w:tcBorders>
          </w:tcPr>
          <w:p w14:paraId="270E00FD" w14:textId="26EE843E" w:rsidR="005D2474" w:rsidRDefault="005D2474" w:rsidP="00ED044B">
            <w:pPr>
              <w:spacing w:before="40" w:after="40"/>
              <w:jc w:val="center"/>
            </w:pPr>
            <w:r>
              <w:rPr>
                <w:szCs w:val="22"/>
              </w:rPr>
              <w:t>2,204 (45%)</w:t>
            </w:r>
          </w:p>
        </w:tc>
        <w:tc>
          <w:tcPr>
            <w:tcW w:w="1737" w:type="dxa"/>
            <w:tcBorders>
              <w:top w:val="single" w:sz="6" w:space="0" w:color="A6A6A6" w:themeColor="background1" w:themeShade="A6"/>
              <w:bottom w:val="single" w:sz="6" w:space="0" w:color="A6A6A6" w:themeColor="background1" w:themeShade="A6"/>
            </w:tcBorders>
          </w:tcPr>
          <w:p w14:paraId="5F48B9A2" w14:textId="2753FC31" w:rsidR="005D2474" w:rsidRDefault="005D2474" w:rsidP="00ED044B">
            <w:pPr>
              <w:spacing w:before="40" w:after="40"/>
              <w:jc w:val="center"/>
            </w:pPr>
            <w:r w:rsidRPr="008D1EFE">
              <w:rPr>
                <w:szCs w:val="22"/>
              </w:rPr>
              <w:t>4</w:t>
            </w:r>
            <w:r>
              <w:rPr>
                <w:szCs w:val="22"/>
              </w:rPr>
              <w:t>,</w:t>
            </w:r>
            <w:r w:rsidRPr="008D1EFE">
              <w:rPr>
                <w:szCs w:val="22"/>
              </w:rPr>
              <w:t>880</w:t>
            </w:r>
          </w:p>
        </w:tc>
      </w:tr>
      <w:tr w:rsidR="005D2474" w14:paraId="2A0C4B8A" w14:textId="77777777" w:rsidTr="00ED044B">
        <w:tc>
          <w:tcPr>
            <w:tcW w:w="2263" w:type="dxa"/>
            <w:tcBorders>
              <w:top w:val="single" w:sz="6" w:space="0" w:color="A6A6A6" w:themeColor="background1" w:themeShade="A6"/>
              <w:bottom w:val="single" w:sz="6" w:space="0" w:color="A6A6A6" w:themeColor="background1" w:themeShade="A6"/>
            </w:tcBorders>
          </w:tcPr>
          <w:p w14:paraId="03992763" w14:textId="5BFEAA15" w:rsidR="005D2474" w:rsidRPr="005D2474" w:rsidRDefault="005D2474" w:rsidP="00ED044B">
            <w:pPr>
              <w:spacing w:before="40" w:after="40"/>
              <w:rPr>
                <w:b/>
                <w:bCs/>
              </w:rPr>
            </w:pPr>
            <w:r w:rsidRPr="005D2474">
              <w:rPr>
                <w:b/>
                <w:bCs/>
                <w:szCs w:val="22"/>
              </w:rPr>
              <w:t>February 2022</w:t>
            </w:r>
          </w:p>
        </w:tc>
        <w:tc>
          <w:tcPr>
            <w:tcW w:w="1736" w:type="dxa"/>
            <w:tcBorders>
              <w:top w:val="single" w:sz="6" w:space="0" w:color="A6A6A6" w:themeColor="background1" w:themeShade="A6"/>
              <w:bottom w:val="single" w:sz="6" w:space="0" w:color="A6A6A6" w:themeColor="background1" w:themeShade="A6"/>
            </w:tcBorders>
          </w:tcPr>
          <w:p w14:paraId="2588C2FB" w14:textId="53CFD001" w:rsidR="005D2474" w:rsidRDefault="005D2474" w:rsidP="00ED044B">
            <w:pPr>
              <w:spacing w:before="40" w:after="40"/>
              <w:jc w:val="center"/>
            </w:pPr>
            <w:r w:rsidRPr="008D1EFE">
              <w:rPr>
                <w:szCs w:val="22"/>
              </w:rPr>
              <w:t>1</w:t>
            </w:r>
            <w:r>
              <w:rPr>
                <w:szCs w:val="22"/>
              </w:rPr>
              <w:t>,</w:t>
            </w:r>
            <w:r w:rsidRPr="008D1EFE">
              <w:rPr>
                <w:szCs w:val="22"/>
              </w:rPr>
              <w:t>614 (28%)</w:t>
            </w:r>
          </w:p>
        </w:tc>
        <w:tc>
          <w:tcPr>
            <w:tcW w:w="1737" w:type="dxa"/>
            <w:tcBorders>
              <w:top w:val="single" w:sz="6" w:space="0" w:color="A6A6A6" w:themeColor="background1" w:themeShade="A6"/>
              <w:bottom w:val="single" w:sz="6" w:space="0" w:color="A6A6A6" w:themeColor="background1" w:themeShade="A6"/>
            </w:tcBorders>
          </w:tcPr>
          <w:p w14:paraId="0AACCBA3" w14:textId="666B912D" w:rsidR="005D2474" w:rsidRDefault="005D2474" w:rsidP="00ED044B">
            <w:pPr>
              <w:spacing w:before="40" w:after="40"/>
              <w:jc w:val="center"/>
            </w:pPr>
            <w:r>
              <w:rPr>
                <w:szCs w:val="22"/>
              </w:rPr>
              <w:t>1,351</w:t>
            </w:r>
            <w:r w:rsidRPr="008D1EFE">
              <w:rPr>
                <w:szCs w:val="22"/>
              </w:rPr>
              <w:t xml:space="preserve"> (</w:t>
            </w:r>
            <w:r>
              <w:rPr>
                <w:szCs w:val="22"/>
              </w:rPr>
              <w:t>23</w:t>
            </w:r>
            <w:r w:rsidRPr="008D1EFE">
              <w:rPr>
                <w:szCs w:val="22"/>
              </w:rPr>
              <w:t>%)</w:t>
            </w:r>
          </w:p>
        </w:tc>
        <w:tc>
          <w:tcPr>
            <w:tcW w:w="1736" w:type="dxa"/>
            <w:tcBorders>
              <w:top w:val="single" w:sz="6" w:space="0" w:color="A6A6A6" w:themeColor="background1" w:themeShade="A6"/>
              <w:bottom w:val="single" w:sz="6" w:space="0" w:color="A6A6A6" w:themeColor="background1" w:themeShade="A6"/>
            </w:tcBorders>
          </w:tcPr>
          <w:p w14:paraId="220CE563" w14:textId="47AD4AE2" w:rsidR="005D2474" w:rsidRDefault="005D2474" w:rsidP="00ED044B">
            <w:pPr>
              <w:spacing w:before="40" w:after="40"/>
              <w:jc w:val="center"/>
            </w:pPr>
            <w:r>
              <w:rPr>
                <w:szCs w:val="22"/>
              </w:rPr>
              <w:t>2,831 (49%)</w:t>
            </w:r>
          </w:p>
        </w:tc>
        <w:tc>
          <w:tcPr>
            <w:tcW w:w="1737" w:type="dxa"/>
            <w:tcBorders>
              <w:top w:val="single" w:sz="6" w:space="0" w:color="A6A6A6" w:themeColor="background1" w:themeShade="A6"/>
              <w:bottom w:val="single" w:sz="6" w:space="0" w:color="A6A6A6" w:themeColor="background1" w:themeShade="A6"/>
            </w:tcBorders>
          </w:tcPr>
          <w:p w14:paraId="63C8D124" w14:textId="5E1E8A47" w:rsidR="005D2474" w:rsidRDefault="005D2474" w:rsidP="00ED044B">
            <w:pPr>
              <w:spacing w:before="40" w:after="40"/>
              <w:jc w:val="center"/>
            </w:pPr>
            <w:r w:rsidRPr="008D1EFE">
              <w:rPr>
                <w:szCs w:val="22"/>
              </w:rPr>
              <w:t>5</w:t>
            </w:r>
            <w:r>
              <w:rPr>
                <w:szCs w:val="22"/>
              </w:rPr>
              <w:t>,</w:t>
            </w:r>
            <w:r w:rsidRPr="008D1EFE">
              <w:rPr>
                <w:szCs w:val="22"/>
              </w:rPr>
              <w:t>796</w:t>
            </w:r>
          </w:p>
        </w:tc>
      </w:tr>
      <w:tr w:rsidR="005D2474" w14:paraId="008AD729" w14:textId="77777777" w:rsidTr="00ED044B">
        <w:tc>
          <w:tcPr>
            <w:tcW w:w="2263" w:type="dxa"/>
            <w:tcBorders>
              <w:top w:val="single" w:sz="6" w:space="0" w:color="A6A6A6" w:themeColor="background1" w:themeShade="A6"/>
              <w:bottom w:val="single" w:sz="6" w:space="0" w:color="A6A6A6" w:themeColor="background1" w:themeShade="A6"/>
            </w:tcBorders>
          </w:tcPr>
          <w:p w14:paraId="34BAB178" w14:textId="54ABBF40" w:rsidR="005D2474" w:rsidRPr="005D2474" w:rsidRDefault="005D2474" w:rsidP="00ED044B">
            <w:pPr>
              <w:spacing w:before="40" w:after="40"/>
              <w:rPr>
                <w:b/>
                <w:bCs/>
              </w:rPr>
            </w:pPr>
            <w:r w:rsidRPr="005D2474">
              <w:rPr>
                <w:b/>
                <w:bCs/>
                <w:szCs w:val="22"/>
              </w:rPr>
              <w:t>TOTAL</w:t>
            </w:r>
          </w:p>
        </w:tc>
        <w:tc>
          <w:tcPr>
            <w:tcW w:w="1736" w:type="dxa"/>
            <w:tcBorders>
              <w:top w:val="single" w:sz="6" w:space="0" w:color="A6A6A6" w:themeColor="background1" w:themeShade="A6"/>
              <w:bottom w:val="single" w:sz="6" w:space="0" w:color="A6A6A6" w:themeColor="background1" w:themeShade="A6"/>
            </w:tcBorders>
          </w:tcPr>
          <w:p w14:paraId="7937153E" w14:textId="5BD4E4F2" w:rsidR="005D2474" w:rsidRDefault="005D2474" w:rsidP="00ED044B">
            <w:pPr>
              <w:spacing w:before="40" w:after="40"/>
              <w:jc w:val="center"/>
            </w:pPr>
            <w:r w:rsidRPr="009B3F71">
              <w:rPr>
                <w:b/>
                <w:bCs/>
                <w:szCs w:val="22"/>
              </w:rPr>
              <w:t>9,187 (3</w:t>
            </w:r>
            <w:r>
              <w:rPr>
                <w:b/>
                <w:bCs/>
                <w:szCs w:val="22"/>
              </w:rPr>
              <w:t>0</w:t>
            </w:r>
            <w:r w:rsidRPr="009B3F71">
              <w:rPr>
                <w:b/>
                <w:bCs/>
                <w:szCs w:val="22"/>
              </w:rPr>
              <w:t>%)</w:t>
            </w:r>
          </w:p>
        </w:tc>
        <w:tc>
          <w:tcPr>
            <w:tcW w:w="1737" w:type="dxa"/>
            <w:tcBorders>
              <w:top w:val="single" w:sz="6" w:space="0" w:color="A6A6A6" w:themeColor="background1" w:themeShade="A6"/>
              <w:bottom w:val="single" w:sz="6" w:space="0" w:color="A6A6A6" w:themeColor="background1" w:themeShade="A6"/>
            </w:tcBorders>
          </w:tcPr>
          <w:p w14:paraId="5136E4C2" w14:textId="11600AEF" w:rsidR="005D2474" w:rsidRDefault="005D2474" w:rsidP="00ED044B">
            <w:pPr>
              <w:spacing w:before="40" w:after="40"/>
              <w:jc w:val="center"/>
            </w:pPr>
            <w:r>
              <w:rPr>
                <w:b/>
                <w:bCs/>
                <w:szCs w:val="22"/>
              </w:rPr>
              <w:t>8,351</w:t>
            </w:r>
            <w:r w:rsidRPr="009B3F71">
              <w:rPr>
                <w:b/>
                <w:bCs/>
                <w:szCs w:val="22"/>
              </w:rPr>
              <w:t xml:space="preserve"> (</w:t>
            </w:r>
            <w:r>
              <w:rPr>
                <w:b/>
                <w:bCs/>
                <w:szCs w:val="22"/>
              </w:rPr>
              <w:t>28</w:t>
            </w:r>
            <w:r w:rsidRPr="009B3F71">
              <w:rPr>
                <w:b/>
                <w:bCs/>
                <w:szCs w:val="22"/>
              </w:rPr>
              <w:t>%)</w:t>
            </w:r>
          </w:p>
        </w:tc>
        <w:tc>
          <w:tcPr>
            <w:tcW w:w="1736" w:type="dxa"/>
            <w:tcBorders>
              <w:top w:val="single" w:sz="6" w:space="0" w:color="A6A6A6" w:themeColor="background1" w:themeShade="A6"/>
              <w:bottom w:val="single" w:sz="6" w:space="0" w:color="A6A6A6" w:themeColor="background1" w:themeShade="A6"/>
            </w:tcBorders>
          </w:tcPr>
          <w:p w14:paraId="41F2BC6B" w14:textId="2C901F55" w:rsidR="005D2474" w:rsidRDefault="005D2474" w:rsidP="00ED044B">
            <w:pPr>
              <w:spacing w:before="40" w:after="40"/>
              <w:jc w:val="center"/>
            </w:pPr>
            <w:r>
              <w:rPr>
                <w:b/>
                <w:bCs/>
                <w:szCs w:val="22"/>
              </w:rPr>
              <w:t>12,572 (42%)</w:t>
            </w:r>
          </w:p>
        </w:tc>
        <w:tc>
          <w:tcPr>
            <w:tcW w:w="1737" w:type="dxa"/>
            <w:tcBorders>
              <w:top w:val="single" w:sz="6" w:space="0" w:color="A6A6A6" w:themeColor="background1" w:themeShade="A6"/>
              <w:bottom w:val="single" w:sz="6" w:space="0" w:color="A6A6A6" w:themeColor="background1" w:themeShade="A6"/>
            </w:tcBorders>
          </w:tcPr>
          <w:p w14:paraId="18333BD3" w14:textId="300ED5AC" w:rsidR="005D2474" w:rsidRDefault="005D2474" w:rsidP="00ED044B">
            <w:pPr>
              <w:spacing w:before="40" w:after="40"/>
              <w:jc w:val="center"/>
            </w:pPr>
            <w:r w:rsidRPr="009B3F71">
              <w:rPr>
                <w:b/>
                <w:bCs/>
                <w:szCs w:val="22"/>
              </w:rPr>
              <w:t>30,110</w:t>
            </w:r>
          </w:p>
        </w:tc>
      </w:tr>
    </w:tbl>
    <w:p w14:paraId="788A4FDD" w14:textId="77777777" w:rsidR="00B96075" w:rsidRPr="00B96075" w:rsidRDefault="00B96075" w:rsidP="006E108D"/>
    <w:p w14:paraId="0AA29EF3" w14:textId="77777777" w:rsidR="007C32F8" w:rsidRDefault="007C32F8" w:rsidP="007C32F8">
      <w:pPr>
        <w:rPr>
          <w:szCs w:val="22"/>
        </w:rPr>
      </w:pPr>
    </w:p>
    <w:p w14:paraId="1BB87A8A" w14:textId="30CE33CC" w:rsidR="00B67DD9" w:rsidRDefault="000B0900" w:rsidP="000B0900">
      <w:pPr>
        <w:pStyle w:val="Caption"/>
        <w:rPr>
          <w:szCs w:val="22"/>
        </w:rPr>
      </w:pPr>
      <w:bookmarkStart w:id="20" w:name="_Toc138929695"/>
      <w:bookmarkStart w:id="21" w:name="_Toc144384908"/>
      <w:bookmarkStart w:id="22" w:name="_Toc144384937"/>
      <w:bookmarkStart w:id="23" w:name="_Toc149667985"/>
      <w:r>
        <w:lastRenderedPageBreak/>
        <w:t xml:space="preserve">Figure </w:t>
      </w:r>
      <w:r w:rsidR="00FC3DB4">
        <w:fldChar w:fldCharType="begin"/>
      </w:r>
      <w:r w:rsidR="00FC3DB4">
        <w:instrText xml:space="preserve"> SEQ Figure \* ARABIC </w:instrText>
      </w:r>
      <w:r w:rsidR="00FC3DB4">
        <w:fldChar w:fldCharType="separate"/>
      </w:r>
      <w:r w:rsidR="00C8748D">
        <w:rPr>
          <w:noProof/>
        </w:rPr>
        <w:t>2</w:t>
      </w:r>
      <w:r w:rsidR="00FC3DB4">
        <w:rPr>
          <w:noProof/>
        </w:rPr>
        <w:fldChar w:fldCharType="end"/>
      </w:r>
      <w:r w:rsidR="00B67DD9">
        <w:t>:</w:t>
      </w:r>
      <w:r w:rsidR="003A3F14">
        <w:t xml:space="preserve"> </w:t>
      </w:r>
      <w:r w:rsidR="00584063">
        <w:t>T</w:t>
      </w:r>
      <w:r w:rsidR="00B67DD9" w:rsidRPr="00223511">
        <w:t xml:space="preserve">rends </w:t>
      </w:r>
      <w:r w:rsidR="00584063">
        <w:t>across</w:t>
      </w:r>
      <w:r w:rsidR="00FD4011">
        <w:t xml:space="preserve"> all jurisdictions and funding streams</w:t>
      </w:r>
      <w:r w:rsidR="000A6746">
        <w:t xml:space="preserve"> (includes ineligible requests)</w:t>
      </w:r>
      <w:r w:rsidR="00FD4011">
        <w:t xml:space="preserve"> </w:t>
      </w:r>
      <w:r w:rsidR="00705C2F">
        <w:t xml:space="preserve">– all </w:t>
      </w:r>
      <w:r w:rsidR="00B67DD9" w:rsidRPr="00223511">
        <w:t>requests for advocacy assistance</w:t>
      </w:r>
      <w:bookmarkEnd w:id="20"/>
      <w:r w:rsidR="00FD4011">
        <w:t>: September 2021 – February 2022</w:t>
      </w:r>
      <w:bookmarkEnd w:id="21"/>
      <w:bookmarkEnd w:id="22"/>
      <w:bookmarkEnd w:id="23"/>
      <w:r w:rsidR="00B67DD9">
        <w:t xml:space="preserve">  </w:t>
      </w:r>
    </w:p>
    <w:p w14:paraId="40530BE1" w14:textId="725143B2" w:rsidR="00B67DD9" w:rsidRPr="00ED044B" w:rsidRDefault="00F9303B" w:rsidP="00ED044B">
      <w:pPr>
        <w:rPr>
          <w:rFonts w:cs="Helvetica"/>
          <w:b/>
          <w:bCs/>
          <w:szCs w:val="22"/>
          <w:lang w:val="en-US"/>
        </w:rPr>
      </w:pPr>
      <w:r>
        <w:rPr>
          <w:noProof/>
          <w:lang w:eastAsia="en-AU"/>
        </w:rPr>
        <w:drawing>
          <wp:inline distT="0" distB="0" distL="0" distR="0" wp14:anchorId="345A09CF" wp14:editId="3E9A72CC">
            <wp:extent cx="5691116" cy="3173104"/>
            <wp:effectExtent l="0" t="0" r="5080" b="8255"/>
            <wp:docPr id="1375017628" name="Chart 1">
              <a:extLst xmlns:a="http://schemas.openxmlformats.org/drawingml/2006/main">
                <a:ext uri="{FF2B5EF4-FFF2-40B4-BE49-F238E27FC236}">
                  <a16:creationId xmlns:a16="http://schemas.microsoft.com/office/drawing/2014/main" id="{75F8C517-D093-4521-8F70-6A78146F13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5155AC" w14:textId="6A84DAC9" w:rsidR="000B0900" w:rsidRDefault="002F081F" w:rsidP="000B0900">
      <w:r w:rsidRPr="00886592">
        <w:t xml:space="preserve">All </w:t>
      </w:r>
      <w:r w:rsidR="00596409">
        <w:t>e</w:t>
      </w:r>
      <w:r w:rsidRPr="00886592">
        <w:t xml:space="preserve">nquiries need handling, often at </w:t>
      </w:r>
      <w:r w:rsidRPr="003A5633">
        <w:t xml:space="preserve">substantial expenditure of time and effort by intake teams </w:t>
      </w:r>
      <w:r>
        <w:t xml:space="preserve">in </w:t>
      </w:r>
      <w:r w:rsidRPr="003A5633">
        <w:t xml:space="preserve">advocacy </w:t>
      </w:r>
      <w:r>
        <w:t xml:space="preserve">organisations and </w:t>
      </w:r>
      <w:r w:rsidRPr="00886592">
        <w:t>regardless of whether they are accepted for advocacy</w:t>
      </w:r>
      <w:r w:rsidR="00170674">
        <w:t>.</w:t>
      </w:r>
      <w:r w:rsidRPr="00886592">
        <w:t xml:space="preserve"> </w:t>
      </w:r>
      <w:r>
        <w:t>T</w:t>
      </w:r>
      <w:r w:rsidRPr="00886592">
        <w:t xml:space="preserve">his additional work is not reflected in activity reporting. </w:t>
      </w:r>
      <w:r w:rsidR="00170674">
        <w:t>There are v</w:t>
      </w:r>
      <w:r w:rsidR="00735B1D">
        <w:t>arious r</w:t>
      </w:r>
      <w:r w:rsidR="00735B1D" w:rsidRPr="003A5633">
        <w:t xml:space="preserve">easons for </w:t>
      </w:r>
      <w:r w:rsidR="00735B1D">
        <w:t xml:space="preserve">people </w:t>
      </w:r>
      <w:r w:rsidR="00735B1D" w:rsidRPr="003A5633">
        <w:t xml:space="preserve">not becoming an advocacy client </w:t>
      </w:r>
      <w:r w:rsidR="00170674">
        <w:t>at the time of request including</w:t>
      </w:r>
      <w:r w:rsidR="00735B1D" w:rsidRPr="003A5633">
        <w:t xml:space="preserve"> </w:t>
      </w:r>
      <w:r w:rsidR="00735B1D">
        <w:t xml:space="preserve">not meeting the </w:t>
      </w:r>
      <w:r w:rsidR="00735B1D" w:rsidRPr="003A5633">
        <w:t>eligibility criteria</w:t>
      </w:r>
      <w:r w:rsidR="00735B1D">
        <w:t xml:space="preserve"> of the organisation</w:t>
      </w:r>
      <w:r w:rsidR="00735B1D" w:rsidRPr="003A5633">
        <w:t xml:space="preserve">, </w:t>
      </w:r>
      <w:r w:rsidR="00735B1D">
        <w:t>constrained</w:t>
      </w:r>
      <w:r w:rsidR="00735B1D" w:rsidRPr="003A5633">
        <w:t xml:space="preserve"> capacity</w:t>
      </w:r>
      <w:r w:rsidR="00735B1D">
        <w:t>, being put on a wait list</w:t>
      </w:r>
      <w:r w:rsidR="00735B1D" w:rsidRPr="003A5633">
        <w:t xml:space="preserve"> </w:t>
      </w:r>
      <w:r w:rsidR="00735B1D" w:rsidRPr="00223511">
        <w:t xml:space="preserve">or other reasons (information is adequate, referral is more appropriate). </w:t>
      </w:r>
      <w:bookmarkStart w:id="24" w:name="_Toc138929696"/>
    </w:p>
    <w:p w14:paraId="68316318" w14:textId="5C6A5E13" w:rsidR="00B67DD9" w:rsidRDefault="004D114E" w:rsidP="000B0900">
      <w:pPr>
        <w:pStyle w:val="Caption"/>
      </w:pPr>
      <w:bookmarkStart w:id="25" w:name="_Toc144384909"/>
      <w:bookmarkStart w:id="26" w:name="_Toc144384938"/>
      <w:bookmarkStart w:id="27" w:name="_Toc149667986"/>
      <w:r>
        <w:rPr>
          <w:noProof/>
          <w:lang w:eastAsia="en-AU"/>
        </w:rPr>
        <w:drawing>
          <wp:anchor distT="0" distB="0" distL="114300" distR="114300" simplePos="0" relativeHeight="251659776" behindDoc="0" locked="0" layoutInCell="1" allowOverlap="1" wp14:anchorId="675A2640" wp14:editId="42B85AB6">
            <wp:simplePos x="0" y="0"/>
            <wp:positionH relativeFrom="margin">
              <wp:align>right</wp:align>
            </wp:positionH>
            <wp:positionV relativeFrom="paragraph">
              <wp:posOffset>497324</wp:posOffset>
            </wp:positionV>
            <wp:extent cx="5724000" cy="3096000"/>
            <wp:effectExtent l="0" t="0" r="10160" b="9525"/>
            <wp:wrapSquare wrapText="bothSides"/>
            <wp:docPr id="1955364838" name="Chart 1">
              <a:extLst xmlns:a="http://schemas.openxmlformats.org/drawingml/2006/main">
                <a:ext uri="{FF2B5EF4-FFF2-40B4-BE49-F238E27FC236}">
                  <a16:creationId xmlns:a16="http://schemas.microsoft.com/office/drawing/2014/main" id="{C87AD59C-CD64-0DF1-65F6-EACCB41F51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0B0900">
        <w:t xml:space="preserve">Figure </w:t>
      </w:r>
      <w:r w:rsidR="00FC3DB4">
        <w:fldChar w:fldCharType="begin"/>
      </w:r>
      <w:r w:rsidR="00FC3DB4">
        <w:instrText xml:space="preserve"> SEQ Figure \* ARABIC </w:instrText>
      </w:r>
      <w:r w:rsidR="00FC3DB4">
        <w:fldChar w:fldCharType="separate"/>
      </w:r>
      <w:r w:rsidR="00C8748D">
        <w:rPr>
          <w:noProof/>
        </w:rPr>
        <w:t>3</w:t>
      </w:r>
      <w:r w:rsidR="00FC3DB4">
        <w:rPr>
          <w:noProof/>
        </w:rPr>
        <w:fldChar w:fldCharType="end"/>
      </w:r>
      <w:r w:rsidR="00B67DD9">
        <w:t>:</w:t>
      </w:r>
      <w:r w:rsidR="003A3F14">
        <w:t xml:space="preserve"> </w:t>
      </w:r>
      <w:bookmarkEnd w:id="24"/>
      <w:r w:rsidR="00E95DAE">
        <w:t>Trends across all jurisdictions and funding streams – all requests for advocacy assistance: September 2021 – February 2022</w:t>
      </w:r>
      <w:bookmarkEnd w:id="25"/>
      <w:bookmarkEnd w:id="26"/>
      <w:bookmarkEnd w:id="27"/>
    </w:p>
    <w:p w14:paraId="0409810C" w14:textId="77777777" w:rsidR="00B4550A" w:rsidRDefault="00B4550A">
      <w:pPr>
        <w:spacing w:after="0" w:line="240" w:lineRule="auto"/>
        <w:rPr>
          <w:rFonts w:eastAsiaTheme="majorEastAsia" w:cstheme="majorBidi"/>
          <w:i/>
          <w:iCs/>
          <w:color w:val="002B45"/>
          <w:sz w:val="28"/>
        </w:rPr>
      </w:pPr>
      <w:r>
        <w:br w:type="page"/>
      </w:r>
    </w:p>
    <w:p w14:paraId="04B70FAD" w14:textId="4A077E70" w:rsidR="00896893" w:rsidRPr="00836E5E" w:rsidRDefault="006012BF" w:rsidP="00223511">
      <w:pPr>
        <w:pStyle w:val="Heading4"/>
      </w:pPr>
      <w:r>
        <w:lastRenderedPageBreak/>
        <w:t>Eligible r</w:t>
      </w:r>
      <w:r w:rsidR="00992BE2" w:rsidRPr="00836E5E">
        <w:rPr>
          <w:bCs/>
        </w:rPr>
        <w:t>equests</w:t>
      </w:r>
      <w:r w:rsidR="006C6BED">
        <w:rPr>
          <w:bCs/>
        </w:rPr>
        <w:t xml:space="preserve"> for advocacy</w:t>
      </w:r>
      <w:r w:rsidR="00992BE2" w:rsidRPr="00836E5E">
        <w:t xml:space="preserve"> </w:t>
      </w:r>
      <w:r w:rsidR="00223511" w:rsidRPr="00836E5E">
        <w:t>– all funding streams</w:t>
      </w:r>
    </w:p>
    <w:p w14:paraId="414466BC" w14:textId="5C2A673B" w:rsidR="002B601A" w:rsidRDefault="00735B1D" w:rsidP="002B601A">
      <w:r w:rsidRPr="00836E5E">
        <w:t>O</w:t>
      </w:r>
      <w:r w:rsidR="00DB2DD6" w:rsidRPr="00836E5E">
        <w:t xml:space="preserve">f the total 17,538 </w:t>
      </w:r>
      <w:r w:rsidR="00DB2DD6" w:rsidRPr="00836E5E">
        <w:rPr>
          <w:bCs/>
        </w:rPr>
        <w:t>eligible requests for advocacy</w:t>
      </w:r>
      <w:r w:rsidR="00DB2DD6" w:rsidRPr="00836E5E">
        <w:t xml:space="preserve"> across all funding streams </w:t>
      </w:r>
      <w:r w:rsidR="00014336" w:rsidRPr="00836E5E">
        <w:t xml:space="preserve">only </w:t>
      </w:r>
      <w:r w:rsidR="00DB2DD6" w:rsidRPr="00836E5E">
        <w:t>9</w:t>
      </w:r>
      <w:r w:rsidR="007B643D">
        <w:t>,</w:t>
      </w:r>
      <w:r w:rsidR="00DB2DD6" w:rsidRPr="00836E5E">
        <w:t>187 or</w:t>
      </w:r>
      <w:r w:rsidR="00DB2DD6">
        <w:t xml:space="preserve"> </w:t>
      </w:r>
      <w:r w:rsidR="00014336">
        <w:t xml:space="preserve">52% </w:t>
      </w:r>
      <w:r w:rsidR="00DB2DD6">
        <w:t>became advocacy clients</w:t>
      </w:r>
      <w:r w:rsidR="00014336">
        <w:t xml:space="preserve"> </w:t>
      </w:r>
      <w:r w:rsidR="00014336" w:rsidRPr="00CA0877">
        <w:t>(</w:t>
      </w:r>
      <w:r w:rsidR="002817F3" w:rsidRPr="00CA0877">
        <w:t>Fig</w:t>
      </w:r>
      <w:r w:rsidR="007C32F8">
        <w:t>ure</w:t>
      </w:r>
      <w:r w:rsidR="006012BF">
        <w:t xml:space="preserve"> </w:t>
      </w:r>
      <w:r w:rsidR="006012BF" w:rsidRPr="006758EA">
        <w:t>4</w:t>
      </w:r>
      <w:r w:rsidR="009247BF">
        <w:t xml:space="preserve">, </w:t>
      </w:r>
      <w:r w:rsidR="00D0156F">
        <w:t>Table 2</w:t>
      </w:r>
      <w:r w:rsidR="004D114E">
        <w:t xml:space="preserve"> </w:t>
      </w:r>
      <w:r w:rsidR="009C6111">
        <w:t>and Figure 5</w:t>
      </w:r>
      <w:r w:rsidR="00014336" w:rsidRPr="00CA0877">
        <w:t>)</w:t>
      </w:r>
      <w:r w:rsidR="00DB2DD6" w:rsidRPr="00CA0877">
        <w:t>.</w:t>
      </w:r>
      <w:r w:rsidRPr="00CA0877">
        <w:t xml:space="preserve"> The</w:t>
      </w:r>
      <w:r>
        <w:t xml:space="preserve"> remaining 8</w:t>
      </w:r>
      <w:r w:rsidR="007B643D">
        <w:t>,</w:t>
      </w:r>
      <w:r>
        <w:t xml:space="preserve">351 or </w:t>
      </w:r>
      <w:r w:rsidR="00014336" w:rsidRPr="00DB2DD6">
        <w:t>48% of eligible requests</w:t>
      </w:r>
      <w:r w:rsidR="006758EA">
        <w:t xml:space="preserve"> (Figure 5)</w:t>
      </w:r>
      <w:r w:rsidR="00014336" w:rsidRPr="00DB2DD6">
        <w:t xml:space="preserve"> did not become advocacy clients or were placed on waiting lists </w:t>
      </w:r>
      <w:r w:rsidR="00983264" w:rsidRPr="00DB2DD6">
        <w:t xml:space="preserve">due to </w:t>
      </w:r>
      <w:r w:rsidR="00014336" w:rsidRPr="00DB2DD6">
        <w:t xml:space="preserve">organisational </w:t>
      </w:r>
      <w:r w:rsidR="00983264" w:rsidRPr="00DB2DD6">
        <w:t>capacity issues</w:t>
      </w:r>
      <w:r w:rsidR="00B67DD9">
        <w:t>.</w:t>
      </w:r>
      <w:r w:rsidR="00DB2DD6">
        <w:rPr>
          <w:rStyle w:val="FootnoteReference"/>
          <w:rFonts w:cs="Helvetica"/>
          <w:szCs w:val="22"/>
        </w:rPr>
        <w:footnoteReference w:id="14"/>
      </w:r>
      <w:r w:rsidR="004A1DE5">
        <w:t xml:space="preserve"> </w:t>
      </w:r>
      <w:bookmarkStart w:id="28" w:name="_Toc138929697"/>
    </w:p>
    <w:p w14:paraId="3C4DC43E" w14:textId="6F5ACFA1" w:rsidR="00B67DD9" w:rsidRDefault="002B601A" w:rsidP="00914ADC">
      <w:pPr>
        <w:pStyle w:val="Caption"/>
      </w:pPr>
      <w:bookmarkStart w:id="29" w:name="_Toc144384910"/>
      <w:bookmarkStart w:id="30" w:name="_Toc144384939"/>
      <w:bookmarkStart w:id="31" w:name="_Toc149667987"/>
      <w:r>
        <w:t xml:space="preserve">Figure </w:t>
      </w:r>
      <w:r w:rsidR="00FC3DB4">
        <w:fldChar w:fldCharType="begin"/>
      </w:r>
      <w:r w:rsidR="00FC3DB4">
        <w:instrText xml:space="preserve"> SEQ Figure \* ARABIC </w:instrText>
      </w:r>
      <w:r w:rsidR="00FC3DB4">
        <w:fldChar w:fldCharType="separate"/>
      </w:r>
      <w:r w:rsidR="00C8748D">
        <w:rPr>
          <w:noProof/>
        </w:rPr>
        <w:t>4</w:t>
      </w:r>
      <w:r w:rsidR="00FC3DB4">
        <w:rPr>
          <w:noProof/>
        </w:rPr>
        <w:fldChar w:fldCharType="end"/>
      </w:r>
      <w:r>
        <w:t xml:space="preserve">: </w:t>
      </w:r>
      <w:r w:rsidR="00A935E0">
        <w:t>Unmet demand</w:t>
      </w:r>
      <w:r w:rsidR="00114DBB">
        <w:t xml:space="preserve"> and waitlist</w:t>
      </w:r>
      <w:r w:rsidR="007C03CD">
        <w:t xml:space="preserve"> </w:t>
      </w:r>
      <w:r w:rsidR="007C5910">
        <w:t xml:space="preserve">trends </w:t>
      </w:r>
      <w:r w:rsidR="007C03CD">
        <w:t>across all jurisdictions and funding streams: September 2021 – February 2022</w:t>
      </w:r>
      <w:bookmarkEnd w:id="28"/>
      <w:bookmarkEnd w:id="29"/>
      <w:bookmarkEnd w:id="30"/>
      <w:bookmarkEnd w:id="31"/>
    </w:p>
    <w:p w14:paraId="364F60C2" w14:textId="1CCB18AB" w:rsidR="00ED044B" w:rsidRDefault="00E80490" w:rsidP="00A20F52">
      <w:pPr>
        <w:spacing w:line="276" w:lineRule="auto"/>
        <w:rPr>
          <w:rStyle w:val="Heading5Char"/>
        </w:rPr>
      </w:pPr>
      <w:r>
        <w:rPr>
          <w:noProof/>
          <w:lang w:eastAsia="en-AU"/>
        </w:rPr>
        <w:drawing>
          <wp:inline distT="0" distB="0" distL="0" distR="0" wp14:anchorId="7890AC0C" wp14:editId="34D471EA">
            <wp:extent cx="5685183" cy="3101009"/>
            <wp:effectExtent l="0" t="0" r="10795" b="4445"/>
            <wp:docPr id="1813914758" name="Chart 1">
              <a:extLst xmlns:a="http://schemas.openxmlformats.org/drawingml/2006/main">
                <a:ext uri="{FF2B5EF4-FFF2-40B4-BE49-F238E27FC236}">
                  <a16:creationId xmlns:a16="http://schemas.microsoft.com/office/drawing/2014/main" id="{6540795A-7617-259A-295B-D18383AED8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40C7B28" w14:textId="01191229" w:rsidR="00ED044B" w:rsidRDefault="00ED044B" w:rsidP="00ED044B">
      <w:pPr>
        <w:spacing w:before="240" w:after="0" w:line="276" w:lineRule="auto"/>
        <w:rPr>
          <w:rStyle w:val="Heading5Char"/>
        </w:rPr>
      </w:pPr>
      <w:bookmarkStart w:id="32" w:name="_Toc149667995"/>
      <w:r>
        <w:rPr>
          <w:noProof/>
          <w:lang w:eastAsia="en-AU"/>
        </w:rPr>
        <mc:AlternateContent>
          <mc:Choice Requires="wps">
            <w:drawing>
              <wp:anchor distT="45720" distB="45720" distL="114300" distR="114300" simplePos="0" relativeHeight="251676672" behindDoc="1" locked="0" layoutInCell="1" allowOverlap="1" wp14:anchorId="0B2C84B6" wp14:editId="04E9F13B">
                <wp:simplePos x="0" y="0"/>
                <wp:positionH relativeFrom="margin">
                  <wp:align>right</wp:align>
                </wp:positionH>
                <wp:positionV relativeFrom="paragraph">
                  <wp:posOffset>526415</wp:posOffset>
                </wp:positionV>
                <wp:extent cx="5857875" cy="23304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330450"/>
                        </a:xfrm>
                        <a:prstGeom prst="rect">
                          <a:avLst/>
                        </a:prstGeom>
                        <a:solidFill>
                          <a:srgbClr val="FFFFFF"/>
                        </a:solidFill>
                        <a:ln w="9525">
                          <a:noFill/>
                          <a:miter lim="800000"/>
                          <a:headEnd/>
                          <a:tailEnd/>
                        </a:ln>
                      </wps:spPr>
                      <wps:txbx>
                        <w:txbxContent>
                          <w:tbl>
                            <w:tblPr>
                              <w:tblStyle w:val="PlainTable2"/>
                              <w:tblW w:w="9072" w:type="dxa"/>
                              <w:tblLayout w:type="fixed"/>
                              <w:tblLook w:val="04A0" w:firstRow="1" w:lastRow="0" w:firstColumn="1" w:lastColumn="0" w:noHBand="0" w:noVBand="1"/>
                            </w:tblPr>
                            <w:tblGrid>
                              <w:gridCol w:w="2127"/>
                              <w:gridCol w:w="1842"/>
                              <w:gridCol w:w="1985"/>
                              <w:gridCol w:w="1559"/>
                              <w:gridCol w:w="1559"/>
                            </w:tblGrid>
                            <w:tr w:rsidR="00A20F52" w:rsidRPr="00CD24D8" w14:paraId="13F484E6" w14:textId="77777777" w:rsidTr="00ED044B">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2127" w:type="dxa"/>
                                  <w:noWrap/>
                                  <w:hideMark/>
                                </w:tcPr>
                                <w:p w14:paraId="2DB8B7E5" w14:textId="77777777" w:rsidR="00A20F52" w:rsidRPr="008D1EFE" w:rsidRDefault="00A20F52" w:rsidP="00ED044B">
                                  <w:pPr>
                                    <w:spacing w:before="40" w:after="40"/>
                                    <w:rPr>
                                      <w:b w:val="0"/>
                                      <w:bCs w:val="0"/>
                                      <w:szCs w:val="22"/>
                                    </w:rPr>
                                  </w:pPr>
                                  <w:r w:rsidRPr="008D1EFE">
                                    <w:rPr>
                                      <w:szCs w:val="22"/>
                                    </w:rPr>
                                    <w:t>Month</w:t>
                                  </w:r>
                                </w:p>
                              </w:tc>
                              <w:tc>
                                <w:tcPr>
                                  <w:tcW w:w="1842" w:type="dxa"/>
                                  <w:hideMark/>
                                </w:tcPr>
                                <w:p w14:paraId="2273A3EF" w14:textId="77777777" w:rsidR="00A20F52" w:rsidRPr="008D1EFE" w:rsidRDefault="00A20F52" w:rsidP="00ED044B">
                                  <w:pPr>
                                    <w:spacing w:before="40" w:after="40"/>
                                    <w:jc w:val="center"/>
                                    <w:cnfStyle w:val="100000000000" w:firstRow="1" w:lastRow="0" w:firstColumn="0" w:lastColumn="0" w:oddVBand="0" w:evenVBand="0" w:oddHBand="0" w:evenHBand="0" w:firstRowFirstColumn="0" w:firstRowLastColumn="0" w:lastRowFirstColumn="0" w:lastRowLastColumn="0"/>
                                    <w:rPr>
                                      <w:b w:val="0"/>
                                      <w:bCs w:val="0"/>
                                      <w:szCs w:val="22"/>
                                    </w:rPr>
                                  </w:pPr>
                                  <w:r w:rsidRPr="008D1EFE">
                                    <w:rPr>
                                      <w:szCs w:val="22"/>
                                    </w:rPr>
                                    <w:t xml:space="preserve">Became </w:t>
                                  </w:r>
                                  <w:r>
                                    <w:rPr>
                                      <w:szCs w:val="22"/>
                                    </w:rPr>
                                    <w:t xml:space="preserve">an </w:t>
                                  </w:r>
                                  <w:r w:rsidRPr="008D1EFE">
                                    <w:rPr>
                                      <w:szCs w:val="22"/>
                                    </w:rPr>
                                    <w:t>advocacy client</w:t>
                                  </w:r>
                                </w:p>
                              </w:tc>
                              <w:tc>
                                <w:tcPr>
                                  <w:tcW w:w="1985" w:type="dxa"/>
                                </w:tcPr>
                                <w:p w14:paraId="4964D633" w14:textId="77777777" w:rsidR="00A20F52" w:rsidRPr="008D1EFE" w:rsidRDefault="00A20F52" w:rsidP="00ED044B">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b w:val="0"/>
                                      <w:bCs w:val="0"/>
                                      <w:szCs w:val="22"/>
                                    </w:rPr>
                                  </w:pPr>
                                  <w:r w:rsidRPr="008D1EFE">
                                    <w:rPr>
                                      <w:szCs w:val="22"/>
                                    </w:rPr>
                                    <w:t>Did not become an advocacy client</w:t>
                                  </w:r>
                                  <w:r>
                                    <w:rPr>
                                      <w:szCs w:val="22"/>
                                    </w:rPr>
                                    <w:t xml:space="preserve"> (eligible)</w:t>
                                  </w:r>
                                </w:p>
                              </w:tc>
                              <w:tc>
                                <w:tcPr>
                                  <w:tcW w:w="1559" w:type="dxa"/>
                                </w:tcPr>
                                <w:p w14:paraId="3C7A3C38" w14:textId="77777777" w:rsidR="00A20F52" w:rsidRPr="008D1EFE" w:rsidRDefault="00A20F52" w:rsidP="00ED044B">
                                  <w:pPr>
                                    <w:spacing w:before="40" w:after="40"/>
                                    <w:jc w:val="center"/>
                                    <w:cnfStyle w:val="100000000000" w:firstRow="1" w:lastRow="0" w:firstColumn="0" w:lastColumn="0" w:oddVBand="0" w:evenVBand="0" w:oddHBand="0" w:evenHBand="0" w:firstRowFirstColumn="0" w:firstRowLastColumn="0" w:lastRowFirstColumn="0" w:lastRowLastColumn="0"/>
                                    <w:rPr>
                                      <w:szCs w:val="22"/>
                                    </w:rPr>
                                  </w:pPr>
                                  <w:r>
                                    <w:rPr>
                                      <w:szCs w:val="22"/>
                                    </w:rPr>
                                    <w:t>On waitlist at end of month</w:t>
                                  </w:r>
                                </w:p>
                              </w:tc>
                              <w:tc>
                                <w:tcPr>
                                  <w:tcW w:w="1559" w:type="dxa"/>
                                  <w:noWrap/>
                                  <w:hideMark/>
                                </w:tcPr>
                                <w:p w14:paraId="3864F414" w14:textId="77777777" w:rsidR="00A20F52" w:rsidRPr="008D1EFE" w:rsidRDefault="00A20F52" w:rsidP="00ED044B">
                                  <w:pPr>
                                    <w:spacing w:before="40" w:after="40"/>
                                    <w:jc w:val="center"/>
                                    <w:cnfStyle w:val="100000000000" w:firstRow="1" w:lastRow="0" w:firstColumn="0" w:lastColumn="0" w:oddVBand="0" w:evenVBand="0" w:oddHBand="0" w:evenHBand="0" w:firstRowFirstColumn="0" w:firstRowLastColumn="0" w:lastRowFirstColumn="0" w:lastRowLastColumn="0"/>
                                    <w:rPr>
                                      <w:b w:val="0"/>
                                      <w:bCs w:val="0"/>
                                      <w:szCs w:val="22"/>
                                    </w:rPr>
                                  </w:pPr>
                                  <w:r w:rsidRPr="008D1EFE">
                                    <w:rPr>
                                      <w:szCs w:val="22"/>
                                    </w:rPr>
                                    <w:t>TOTAL</w:t>
                                  </w:r>
                                  <w:r>
                                    <w:rPr>
                                      <w:szCs w:val="22"/>
                                    </w:rPr>
                                    <w:t xml:space="preserve"> eligible</w:t>
                                  </w:r>
                                  <w:r>
                                    <w:rPr>
                                      <w:b w:val="0"/>
                                      <w:bCs w:val="0"/>
                                      <w:szCs w:val="22"/>
                                    </w:rPr>
                                    <w:t xml:space="preserve"> </w:t>
                                  </w:r>
                                  <w:r w:rsidRPr="0016548E">
                                    <w:rPr>
                                      <w:szCs w:val="22"/>
                                    </w:rPr>
                                    <w:t>requests</w:t>
                                  </w:r>
                                </w:p>
                              </w:tc>
                            </w:tr>
                            <w:tr w:rsidR="00A20F52" w:rsidRPr="00CD24D8" w14:paraId="47D11FD1" w14:textId="77777777" w:rsidTr="00ED044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hideMark/>
                                </w:tcPr>
                                <w:p w14:paraId="269B3908" w14:textId="77777777" w:rsidR="00A20F52" w:rsidRPr="008D1EFE" w:rsidRDefault="00A20F52" w:rsidP="00ED044B">
                                  <w:pPr>
                                    <w:spacing w:before="40" w:after="40"/>
                                    <w:rPr>
                                      <w:szCs w:val="22"/>
                                    </w:rPr>
                                  </w:pPr>
                                  <w:r w:rsidRPr="008D1EFE">
                                    <w:rPr>
                                      <w:szCs w:val="22"/>
                                    </w:rPr>
                                    <w:t>September 2021</w:t>
                                  </w:r>
                                </w:p>
                              </w:tc>
                              <w:tc>
                                <w:tcPr>
                                  <w:tcW w:w="1842" w:type="dxa"/>
                                  <w:noWrap/>
                                  <w:hideMark/>
                                </w:tcPr>
                                <w:p w14:paraId="2BE7BAB4" w14:textId="77777777" w:rsidR="00A20F52" w:rsidRPr="008D1EFE"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sidRPr="008D1EFE">
                                    <w:rPr>
                                      <w:szCs w:val="22"/>
                                    </w:rPr>
                                    <w:t>1</w:t>
                                  </w:r>
                                  <w:r>
                                    <w:rPr>
                                      <w:szCs w:val="22"/>
                                    </w:rPr>
                                    <w:t>,</w:t>
                                  </w:r>
                                  <w:r w:rsidRPr="008D1EFE">
                                    <w:rPr>
                                      <w:szCs w:val="22"/>
                                    </w:rPr>
                                    <w:t>791 (</w:t>
                                  </w:r>
                                  <w:r>
                                    <w:rPr>
                                      <w:szCs w:val="22"/>
                                    </w:rPr>
                                    <w:t>59</w:t>
                                  </w:r>
                                  <w:r w:rsidRPr="008D1EFE">
                                    <w:rPr>
                                      <w:szCs w:val="22"/>
                                    </w:rPr>
                                    <w:t>%)</w:t>
                                  </w:r>
                                </w:p>
                              </w:tc>
                              <w:tc>
                                <w:tcPr>
                                  <w:tcW w:w="1985" w:type="dxa"/>
                                </w:tcPr>
                                <w:p w14:paraId="73F25A36" w14:textId="77777777" w:rsidR="00A20F52" w:rsidRPr="008D1EFE"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453 (15%)</w:t>
                                  </w:r>
                                </w:p>
                              </w:tc>
                              <w:tc>
                                <w:tcPr>
                                  <w:tcW w:w="1559" w:type="dxa"/>
                                </w:tcPr>
                                <w:p w14:paraId="337BCD1E" w14:textId="77777777" w:rsidR="00A20F52" w:rsidRPr="008D1EFE"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784 (26%)</w:t>
                                  </w:r>
                                </w:p>
                              </w:tc>
                              <w:tc>
                                <w:tcPr>
                                  <w:tcW w:w="1559" w:type="dxa"/>
                                  <w:noWrap/>
                                  <w:hideMark/>
                                </w:tcPr>
                                <w:p w14:paraId="2F78C959" w14:textId="77777777" w:rsidR="00A20F52" w:rsidRPr="008D1EFE"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3,028</w:t>
                                  </w:r>
                                </w:p>
                              </w:tc>
                            </w:tr>
                            <w:tr w:rsidR="00A20F52" w:rsidRPr="00CD24D8" w14:paraId="427D776A" w14:textId="77777777" w:rsidTr="00ED044B">
                              <w:trPr>
                                <w:trHeight w:val="288"/>
                              </w:trPr>
                              <w:tc>
                                <w:tcPr>
                                  <w:cnfStyle w:val="001000000000" w:firstRow="0" w:lastRow="0" w:firstColumn="1" w:lastColumn="0" w:oddVBand="0" w:evenVBand="0" w:oddHBand="0" w:evenHBand="0" w:firstRowFirstColumn="0" w:firstRowLastColumn="0" w:lastRowFirstColumn="0" w:lastRowLastColumn="0"/>
                                  <w:tcW w:w="2127" w:type="dxa"/>
                                  <w:noWrap/>
                                  <w:hideMark/>
                                </w:tcPr>
                                <w:p w14:paraId="3CBE6F84" w14:textId="77777777" w:rsidR="00A20F52" w:rsidRPr="008D1EFE" w:rsidRDefault="00A20F52" w:rsidP="00ED044B">
                                  <w:pPr>
                                    <w:spacing w:before="40" w:after="40"/>
                                    <w:rPr>
                                      <w:szCs w:val="22"/>
                                    </w:rPr>
                                  </w:pPr>
                                  <w:r w:rsidRPr="008D1EFE">
                                    <w:rPr>
                                      <w:szCs w:val="22"/>
                                    </w:rPr>
                                    <w:t>October 2021</w:t>
                                  </w:r>
                                </w:p>
                              </w:tc>
                              <w:tc>
                                <w:tcPr>
                                  <w:tcW w:w="1842" w:type="dxa"/>
                                  <w:noWrap/>
                                  <w:hideMark/>
                                </w:tcPr>
                                <w:p w14:paraId="70C8E594" w14:textId="77777777" w:rsidR="00A20F52" w:rsidRPr="008D1EFE" w:rsidRDefault="00A20F52"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sidRPr="008D1EFE">
                                    <w:rPr>
                                      <w:szCs w:val="22"/>
                                    </w:rPr>
                                    <w:t>1</w:t>
                                  </w:r>
                                  <w:r>
                                    <w:rPr>
                                      <w:szCs w:val="22"/>
                                    </w:rPr>
                                    <w:t>,</w:t>
                                  </w:r>
                                  <w:r w:rsidRPr="008D1EFE">
                                    <w:rPr>
                                      <w:szCs w:val="22"/>
                                    </w:rPr>
                                    <w:t>643 (</w:t>
                                  </w:r>
                                  <w:r>
                                    <w:rPr>
                                      <w:szCs w:val="22"/>
                                    </w:rPr>
                                    <w:t>48</w:t>
                                  </w:r>
                                  <w:r w:rsidRPr="008D1EFE">
                                    <w:rPr>
                                      <w:szCs w:val="22"/>
                                    </w:rPr>
                                    <w:t>%)</w:t>
                                  </w:r>
                                </w:p>
                              </w:tc>
                              <w:tc>
                                <w:tcPr>
                                  <w:tcW w:w="1985" w:type="dxa"/>
                                </w:tcPr>
                                <w:p w14:paraId="661C5BAB" w14:textId="77777777" w:rsidR="00A20F52" w:rsidRPr="008D1EFE" w:rsidRDefault="00A20F52"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858 (25%</w:t>
                                  </w:r>
                                  <w:r w:rsidRPr="008D1EFE">
                                    <w:rPr>
                                      <w:szCs w:val="22"/>
                                    </w:rPr>
                                    <w:t>)</w:t>
                                  </w:r>
                                </w:p>
                              </w:tc>
                              <w:tc>
                                <w:tcPr>
                                  <w:tcW w:w="1559" w:type="dxa"/>
                                </w:tcPr>
                                <w:p w14:paraId="68F5A787" w14:textId="77777777" w:rsidR="00A20F52" w:rsidRPr="008D1EFE" w:rsidRDefault="00A20F52"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915 (27%)</w:t>
                                  </w:r>
                                </w:p>
                              </w:tc>
                              <w:tc>
                                <w:tcPr>
                                  <w:tcW w:w="1559" w:type="dxa"/>
                                  <w:noWrap/>
                                  <w:hideMark/>
                                </w:tcPr>
                                <w:p w14:paraId="3328E246" w14:textId="77777777" w:rsidR="00A20F52" w:rsidRPr="008D1EFE" w:rsidRDefault="00A20F52"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3,416</w:t>
                                  </w:r>
                                </w:p>
                              </w:tc>
                            </w:tr>
                            <w:tr w:rsidR="00A20F52" w:rsidRPr="00CD24D8" w14:paraId="5799B4A6" w14:textId="77777777" w:rsidTr="00ED044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hideMark/>
                                </w:tcPr>
                                <w:p w14:paraId="625AEB22" w14:textId="77777777" w:rsidR="00A20F52" w:rsidRPr="008D1EFE" w:rsidRDefault="00A20F52" w:rsidP="00ED044B">
                                  <w:pPr>
                                    <w:spacing w:before="40" w:after="40"/>
                                    <w:rPr>
                                      <w:szCs w:val="22"/>
                                    </w:rPr>
                                  </w:pPr>
                                  <w:r w:rsidRPr="008D1EFE">
                                    <w:rPr>
                                      <w:szCs w:val="22"/>
                                    </w:rPr>
                                    <w:t>November 2021</w:t>
                                  </w:r>
                                </w:p>
                              </w:tc>
                              <w:tc>
                                <w:tcPr>
                                  <w:tcW w:w="1842" w:type="dxa"/>
                                  <w:noWrap/>
                                  <w:hideMark/>
                                </w:tcPr>
                                <w:p w14:paraId="54FB5815" w14:textId="77777777" w:rsidR="00A20F52" w:rsidRPr="008D1EFE"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sidRPr="008D1EFE">
                                    <w:rPr>
                                      <w:szCs w:val="22"/>
                                    </w:rPr>
                                    <w:t>1</w:t>
                                  </w:r>
                                  <w:r>
                                    <w:rPr>
                                      <w:szCs w:val="22"/>
                                    </w:rPr>
                                    <w:t>,</w:t>
                                  </w:r>
                                  <w:r w:rsidRPr="008D1EFE">
                                    <w:rPr>
                                      <w:szCs w:val="22"/>
                                    </w:rPr>
                                    <w:t>637 (</w:t>
                                  </w:r>
                                  <w:r>
                                    <w:rPr>
                                      <w:szCs w:val="22"/>
                                    </w:rPr>
                                    <w:t>53</w:t>
                                  </w:r>
                                  <w:r w:rsidRPr="008D1EFE">
                                    <w:rPr>
                                      <w:szCs w:val="22"/>
                                    </w:rPr>
                                    <w:t>%)</w:t>
                                  </w:r>
                                </w:p>
                              </w:tc>
                              <w:tc>
                                <w:tcPr>
                                  <w:tcW w:w="1985" w:type="dxa"/>
                                </w:tcPr>
                                <w:p w14:paraId="496F0A93" w14:textId="77777777" w:rsidR="00A20F52" w:rsidRPr="008D1EFE"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549 (18%</w:t>
                                  </w:r>
                                  <w:r w:rsidRPr="008D1EFE">
                                    <w:rPr>
                                      <w:szCs w:val="22"/>
                                    </w:rPr>
                                    <w:t>)</w:t>
                                  </w:r>
                                </w:p>
                              </w:tc>
                              <w:tc>
                                <w:tcPr>
                                  <w:tcW w:w="1559" w:type="dxa"/>
                                </w:tcPr>
                                <w:p w14:paraId="43F5874A" w14:textId="77777777" w:rsidR="00A20F52" w:rsidRPr="008D1EFE"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901 (29%)</w:t>
                                  </w:r>
                                </w:p>
                              </w:tc>
                              <w:tc>
                                <w:tcPr>
                                  <w:tcW w:w="1559" w:type="dxa"/>
                                  <w:noWrap/>
                                  <w:hideMark/>
                                </w:tcPr>
                                <w:p w14:paraId="3D53EC36" w14:textId="77777777" w:rsidR="00A20F52" w:rsidRPr="008D1EFE"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3,087</w:t>
                                  </w:r>
                                </w:p>
                              </w:tc>
                            </w:tr>
                            <w:tr w:rsidR="00A20F52" w:rsidRPr="00CD24D8" w14:paraId="18551781" w14:textId="77777777" w:rsidTr="00ED044B">
                              <w:trPr>
                                <w:trHeight w:val="288"/>
                              </w:trPr>
                              <w:tc>
                                <w:tcPr>
                                  <w:cnfStyle w:val="001000000000" w:firstRow="0" w:lastRow="0" w:firstColumn="1" w:lastColumn="0" w:oddVBand="0" w:evenVBand="0" w:oddHBand="0" w:evenHBand="0" w:firstRowFirstColumn="0" w:firstRowLastColumn="0" w:lastRowFirstColumn="0" w:lastRowLastColumn="0"/>
                                  <w:tcW w:w="2127" w:type="dxa"/>
                                  <w:noWrap/>
                                  <w:hideMark/>
                                </w:tcPr>
                                <w:p w14:paraId="3EB426C3" w14:textId="77777777" w:rsidR="00A20F52" w:rsidRPr="008D1EFE" w:rsidRDefault="00A20F52" w:rsidP="00ED044B">
                                  <w:pPr>
                                    <w:spacing w:before="40" w:after="40"/>
                                    <w:rPr>
                                      <w:szCs w:val="22"/>
                                    </w:rPr>
                                  </w:pPr>
                                  <w:r w:rsidRPr="008D1EFE">
                                    <w:rPr>
                                      <w:szCs w:val="22"/>
                                    </w:rPr>
                                    <w:t>December 2021</w:t>
                                  </w:r>
                                </w:p>
                              </w:tc>
                              <w:tc>
                                <w:tcPr>
                                  <w:tcW w:w="1842" w:type="dxa"/>
                                  <w:noWrap/>
                                  <w:hideMark/>
                                </w:tcPr>
                                <w:p w14:paraId="203FD43E" w14:textId="77777777" w:rsidR="00A20F52" w:rsidRPr="008D1EFE" w:rsidRDefault="00A20F52"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sidRPr="008D1EFE">
                                    <w:rPr>
                                      <w:szCs w:val="22"/>
                                    </w:rPr>
                                    <w:t>1</w:t>
                                  </w:r>
                                  <w:r>
                                    <w:rPr>
                                      <w:szCs w:val="22"/>
                                    </w:rPr>
                                    <w:t>,</w:t>
                                  </w:r>
                                  <w:r w:rsidRPr="008D1EFE">
                                    <w:rPr>
                                      <w:szCs w:val="22"/>
                                    </w:rPr>
                                    <w:t>097 (</w:t>
                                  </w:r>
                                  <w:r>
                                    <w:rPr>
                                      <w:szCs w:val="22"/>
                                    </w:rPr>
                                    <w:t>46</w:t>
                                  </w:r>
                                  <w:r w:rsidRPr="008D1EFE">
                                    <w:rPr>
                                      <w:szCs w:val="22"/>
                                    </w:rPr>
                                    <w:t>%)</w:t>
                                  </w:r>
                                </w:p>
                              </w:tc>
                              <w:tc>
                                <w:tcPr>
                                  <w:tcW w:w="1985" w:type="dxa"/>
                                </w:tcPr>
                                <w:p w14:paraId="4BBE1A5A" w14:textId="77777777" w:rsidR="00A20F52" w:rsidRPr="008D1EFE" w:rsidRDefault="00A20F52"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538 (23%</w:t>
                                  </w:r>
                                  <w:r w:rsidRPr="008D1EFE">
                                    <w:rPr>
                                      <w:szCs w:val="22"/>
                                    </w:rPr>
                                    <w:t>)</w:t>
                                  </w:r>
                                </w:p>
                              </w:tc>
                              <w:tc>
                                <w:tcPr>
                                  <w:tcW w:w="1559" w:type="dxa"/>
                                </w:tcPr>
                                <w:p w14:paraId="5705C1A4" w14:textId="77777777" w:rsidR="00A20F52" w:rsidRPr="008D1EFE" w:rsidRDefault="00A20F52"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731 (31%)</w:t>
                                  </w:r>
                                </w:p>
                              </w:tc>
                              <w:tc>
                                <w:tcPr>
                                  <w:tcW w:w="1559" w:type="dxa"/>
                                  <w:noWrap/>
                                  <w:hideMark/>
                                </w:tcPr>
                                <w:p w14:paraId="12E28D58" w14:textId="77777777" w:rsidR="00A20F52" w:rsidRPr="008D1EFE" w:rsidRDefault="00A20F52"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2,366</w:t>
                                  </w:r>
                                </w:p>
                              </w:tc>
                            </w:tr>
                            <w:tr w:rsidR="00A20F52" w:rsidRPr="00CD24D8" w14:paraId="171FE530" w14:textId="77777777" w:rsidTr="00ED044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hideMark/>
                                </w:tcPr>
                                <w:p w14:paraId="13735BA0" w14:textId="77777777" w:rsidR="00A20F52" w:rsidRPr="008D1EFE" w:rsidRDefault="00A20F52" w:rsidP="00ED044B">
                                  <w:pPr>
                                    <w:spacing w:before="40" w:after="40"/>
                                    <w:rPr>
                                      <w:szCs w:val="22"/>
                                    </w:rPr>
                                  </w:pPr>
                                  <w:r w:rsidRPr="008D1EFE">
                                    <w:rPr>
                                      <w:szCs w:val="22"/>
                                    </w:rPr>
                                    <w:t>January 2022</w:t>
                                  </w:r>
                                </w:p>
                              </w:tc>
                              <w:tc>
                                <w:tcPr>
                                  <w:tcW w:w="1842" w:type="dxa"/>
                                  <w:noWrap/>
                                  <w:hideMark/>
                                </w:tcPr>
                                <w:p w14:paraId="4B8EBF99" w14:textId="77777777" w:rsidR="00A20F52" w:rsidRPr="008D1EFE"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sidRPr="008D1EFE">
                                    <w:rPr>
                                      <w:szCs w:val="22"/>
                                    </w:rPr>
                                    <w:t>1</w:t>
                                  </w:r>
                                  <w:r>
                                    <w:rPr>
                                      <w:szCs w:val="22"/>
                                    </w:rPr>
                                    <w:t>,</w:t>
                                  </w:r>
                                  <w:r w:rsidRPr="008D1EFE">
                                    <w:rPr>
                                      <w:szCs w:val="22"/>
                                    </w:rPr>
                                    <w:t>405 (</w:t>
                                  </w:r>
                                  <w:r>
                                    <w:rPr>
                                      <w:szCs w:val="22"/>
                                    </w:rPr>
                                    <w:t>53</w:t>
                                  </w:r>
                                  <w:r w:rsidRPr="008D1EFE">
                                    <w:rPr>
                                      <w:szCs w:val="22"/>
                                    </w:rPr>
                                    <w:t>%)</w:t>
                                  </w:r>
                                </w:p>
                              </w:tc>
                              <w:tc>
                                <w:tcPr>
                                  <w:tcW w:w="1985" w:type="dxa"/>
                                </w:tcPr>
                                <w:p w14:paraId="3E592C72" w14:textId="77777777" w:rsidR="00A20F52" w:rsidRPr="008D1EFE"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484 (18%</w:t>
                                  </w:r>
                                  <w:r w:rsidRPr="008D1EFE">
                                    <w:rPr>
                                      <w:szCs w:val="22"/>
                                    </w:rPr>
                                    <w:t>)</w:t>
                                  </w:r>
                                </w:p>
                              </w:tc>
                              <w:tc>
                                <w:tcPr>
                                  <w:tcW w:w="1559" w:type="dxa"/>
                                </w:tcPr>
                                <w:p w14:paraId="7E0ADF69" w14:textId="77777777" w:rsidR="00A20F52" w:rsidRPr="008D1EFE"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787 (29%)</w:t>
                                  </w:r>
                                </w:p>
                              </w:tc>
                              <w:tc>
                                <w:tcPr>
                                  <w:tcW w:w="1559" w:type="dxa"/>
                                  <w:noWrap/>
                                  <w:hideMark/>
                                </w:tcPr>
                                <w:p w14:paraId="0229C2B9" w14:textId="77777777" w:rsidR="00A20F52" w:rsidRPr="008D1EFE"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2,676</w:t>
                                  </w:r>
                                </w:p>
                              </w:tc>
                            </w:tr>
                            <w:tr w:rsidR="00A20F52" w:rsidRPr="00CD24D8" w14:paraId="69D36C6B" w14:textId="77777777" w:rsidTr="00ED044B">
                              <w:trPr>
                                <w:trHeight w:val="288"/>
                              </w:trPr>
                              <w:tc>
                                <w:tcPr>
                                  <w:cnfStyle w:val="001000000000" w:firstRow="0" w:lastRow="0" w:firstColumn="1" w:lastColumn="0" w:oddVBand="0" w:evenVBand="0" w:oddHBand="0" w:evenHBand="0" w:firstRowFirstColumn="0" w:firstRowLastColumn="0" w:lastRowFirstColumn="0" w:lastRowLastColumn="0"/>
                                  <w:tcW w:w="2127" w:type="dxa"/>
                                  <w:noWrap/>
                                  <w:hideMark/>
                                </w:tcPr>
                                <w:p w14:paraId="3DA81BD6" w14:textId="77777777" w:rsidR="00A20F52" w:rsidRPr="008D1EFE" w:rsidRDefault="00A20F52" w:rsidP="00ED044B">
                                  <w:pPr>
                                    <w:spacing w:before="40" w:after="40"/>
                                    <w:rPr>
                                      <w:szCs w:val="22"/>
                                    </w:rPr>
                                  </w:pPr>
                                  <w:r w:rsidRPr="008D1EFE">
                                    <w:rPr>
                                      <w:szCs w:val="22"/>
                                    </w:rPr>
                                    <w:t>February 2022</w:t>
                                  </w:r>
                                </w:p>
                              </w:tc>
                              <w:tc>
                                <w:tcPr>
                                  <w:tcW w:w="1842" w:type="dxa"/>
                                  <w:noWrap/>
                                  <w:hideMark/>
                                </w:tcPr>
                                <w:p w14:paraId="7540B077" w14:textId="77777777" w:rsidR="00A20F52" w:rsidRPr="008D1EFE" w:rsidRDefault="00A20F52"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sidRPr="008D1EFE">
                                    <w:rPr>
                                      <w:szCs w:val="22"/>
                                    </w:rPr>
                                    <w:t>1</w:t>
                                  </w:r>
                                  <w:r>
                                    <w:rPr>
                                      <w:szCs w:val="22"/>
                                    </w:rPr>
                                    <w:t>,</w:t>
                                  </w:r>
                                  <w:r w:rsidRPr="008D1EFE">
                                    <w:rPr>
                                      <w:szCs w:val="22"/>
                                    </w:rPr>
                                    <w:t>614 (</w:t>
                                  </w:r>
                                  <w:r>
                                    <w:rPr>
                                      <w:szCs w:val="22"/>
                                    </w:rPr>
                                    <w:t>54</w:t>
                                  </w:r>
                                  <w:r w:rsidRPr="008D1EFE">
                                    <w:rPr>
                                      <w:szCs w:val="22"/>
                                    </w:rPr>
                                    <w:t>%)</w:t>
                                  </w:r>
                                </w:p>
                              </w:tc>
                              <w:tc>
                                <w:tcPr>
                                  <w:tcW w:w="1985" w:type="dxa"/>
                                </w:tcPr>
                                <w:p w14:paraId="4DBEA942" w14:textId="77777777" w:rsidR="00A20F52" w:rsidRPr="008D1EFE" w:rsidRDefault="00A20F52"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516 (18%</w:t>
                                  </w:r>
                                  <w:r w:rsidRPr="008D1EFE">
                                    <w:rPr>
                                      <w:szCs w:val="22"/>
                                    </w:rPr>
                                    <w:t>)</w:t>
                                  </w:r>
                                </w:p>
                              </w:tc>
                              <w:tc>
                                <w:tcPr>
                                  <w:tcW w:w="1559" w:type="dxa"/>
                                </w:tcPr>
                                <w:p w14:paraId="267035B3" w14:textId="77777777" w:rsidR="00A20F52" w:rsidRPr="008D1EFE" w:rsidRDefault="00A20F52"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835 (28%)</w:t>
                                  </w:r>
                                </w:p>
                              </w:tc>
                              <w:tc>
                                <w:tcPr>
                                  <w:tcW w:w="1559" w:type="dxa"/>
                                  <w:noWrap/>
                                  <w:hideMark/>
                                </w:tcPr>
                                <w:p w14:paraId="39C8DD02" w14:textId="77777777" w:rsidR="00A20F52" w:rsidRPr="008D1EFE" w:rsidRDefault="00A20F52"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2,965</w:t>
                                  </w:r>
                                </w:p>
                              </w:tc>
                            </w:tr>
                            <w:tr w:rsidR="00A20F52" w:rsidRPr="009B3F71" w14:paraId="22105356" w14:textId="77777777" w:rsidTr="00ED044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tcPr>
                                <w:p w14:paraId="6EF324C7" w14:textId="77777777" w:rsidR="00A20F52" w:rsidRPr="009B3F71" w:rsidRDefault="00A20F52" w:rsidP="00ED044B">
                                  <w:pPr>
                                    <w:spacing w:before="40" w:after="40"/>
                                    <w:rPr>
                                      <w:b w:val="0"/>
                                      <w:bCs w:val="0"/>
                                      <w:szCs w:val="22"/>
                                    </w:rPr>
                                  </w:pPr>
                                  <w:r w:rsidRPr="009B3F71">
                                    <w:rPr>
                                      <w:szCs w:val="22"/>
                                    </w:rPr>
                                    <w:t>TOTAL</w:t>
                                  </w:r>
                                </w:p>
                              </w:tc>
                              <w:tc>
                                <w:tcPr>
                                  <w:tcW w:w="1842" w:type="dxa"/>
                                  <w:noWrap/>
                                </w:tcPr>
                                <w:p w14:paraId="00D6D351" w14:textId="77777777" w:rsidR="00A20F52" w:rsidRPr="009B3F71"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b/>
                                      <w:bCs/>
                                      <w:szCs w:val="22"/>
                                    </w:rPr>
                                  </w:pPr>
                                  <w:r w:rsidRPr="009B3F71">
                                    <w:rPr>
                                      <w:b/>
                                      <w:bCs/>
                                      <w:szCs w:val="22"/>
                                    </w:rPr>
                                    <w:t>9,187 (</w:t>
                                  </w:r>
                                  <w:r>
                                    <w:rPr>
                                      <w:b/>
                                      <w:bCs/>
                                      <w:szCs w:val="22"/>
                                    </w:rPr>
                                    <w:t>52</w:t>
                                  </w:r>
                                  <w:r w:rsidRPr="009B3F71">
                                    <w:rPr>
                                      <w:b/>
                                      <w:bCs/>
                                      <w:szCs w:val="22"/>
                                    </w:rPr>
                                    <w:t>%)</w:t>
                                  </w:r>
                                </w:p>
                              </w:tc>
                              <w:tc>
                                <w:tcPr>
                                  <w:tcW w:w="1985" w:type="dxa"/>
                                </w:tcPr>
                                <w:p w14:paraId="4C7588FE" w14:textId="77777777" w:rsidR="00A20F52" w:rsidRPr="009B3F71"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b/>
                                      <w:bCs/>
                                      <w:szCs w:val="22"/>
                                    </w:rPr>
                                  </w:pPr>
                                  <w:r>
                                    <w:rPr>
                                      <w:b/>
                                      <w:bCs/>
                                      <w:szCs w:val="22"/>
                                    </w:rPr>
                                    <w:t>3,398 (20%)</w:t>
                                  </w:r>
                                </w:p>
                              </w:tc>
                              <w:tc>
                                <w:tcPr>
                                  <w:tcW w:w="1559" w:type="dxa"/>
                                </w:tcPr>
                                <w:p w14:paraId="54154573" w14:textId="77777777" w:rsidR="00A20F52" w:rsidRPr="009B3F71"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b/>
                                      <w:bCs/>
                                      <w:szCs w:val="22"/>
                                    </w:rPr>
                                  </w:pPr>
                                  <w:r>
                                    <w:rPr>
                                      <w:b/>
                                      <w:bCs/>
                                      <w:szCs w:val="22"/>
                                    </w:rPr>
                                    <w:t>4,953 (28%)</w:t>
                                  </w:r>
                                </w:p>
                              </w:tc>
                              <w:tc>
                                <w:tcPr>
                                  <w:tcW w:w="1559" w:type="dxa"/>
                                  <w:noWrap/>
                                </w:tcPr>
                                <w:p w14:paraId="4F163587" w14:textId="77777777" w:rsidR="00A20F52" w:rsidRPr="009B3F71"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b/>
                                      <w:bCs/>
                                      <w:szCs w:val="22"/>
                                    </w:rPr>
                                  </w:pPr>
                                  <w:r>
                                    <w:rPr>
                                      <w:b/>
                                      <w:bCs/>
                                      <w:szCs w:val="22"/>
                                    </w:rPr>
                                    <w:t>17,538</w:t>
                                  </w:r>
                                </w:p>
                              </w:tc>
                            </w:tr>
                          </w:tbl>
                          <w:p w14:paraId="67DCD0F8" w14:textId="34BAD21F" w:rsidR="00A20F52" w:rsidRDefault="00A20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C84B6" id="Text Box 2" o:spid="_x0000_s1027" type="#_x0000_t202" style="position:absolute;margin-left:410.05pt;margin-top:41.45pt;width:461.25pt;height:183.5pt;z-index:-251639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" stroked="f">
                <v:textbox>
                  <w:txbxContent>
                    <w:tbl>
                      <w:tblPr>
                        <w:tblStyle w:val="PlainTable2"/>
                        <w:tblW w:w="9072" w:type="dxa"/>
                        <w:tblLayout w:type="fixed"/>
                        <w:tblLook w:val="04A0" w:firstRow="1" w:lastRow="0" w:firstColumn="1" w:lastColumn="0" w:noHBand="0" w:noVBand="1"/>
                      </w:tblPr>
                      <w:tblGrid>
                        <w:gridCol w:w="2127"/>
                        <w:gridCol w:w="1842"/>
                        <w:gridCol w:w="1985"/>
                        <w:gridCol w:w="1559"/>
                        <w:gridCol w:w="1559"/>
                      </w:tblGrid>
                      <w:tr w:rsidR="00A20F52" w:rsidRPr="00CD24D8" w14:paraId="13F484E6" w14:textId="77777777" w:rsidTr="00ED044B">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2127" w:type="dxa"/>
                            <w:noWrap/>
                            <w:hideMark/>
                          </w:tcPr>
                          <w:p w14:paraId="2DB8B7E5" w14:textId="77777777" w:rsidR="00A20F52" w:rsidRPr="008D1EFE" w:rsidRDefault="00A20F52" w:rsidP="00ED044B">
                            <w:pPr>
                              <w:spacing w:before="40" w:after="40"/>
                              <w:rPr>
                                <w:b w:val="0"/>
                                <w:bCs w:val="0"/>
                                <w:szCs w:val="22"/>
                              </w:rPr>
                            </w:pPr>
                            <w:r w:rsidRPr="008D1EFE">
                              <w:rPr>
                                <w:szCs w:val="22"/>
                              </w:rPr>
                              <w:t>Month</w:t>
                            </w:r>
                          </w:p>
                        </w:tc>
                        <w:tc>
                          <w:tcPr>
                            <w:tcW w:w="1842" w:type="dxa"/>
                            <w:hideMark/>
                          </w:tcPr>
                          <w:p w14:paraId="2273A3EF" w14:textId="77777777" w:rsidR="00A20F52" w:rsidRPr="008D1EFE" w:rsidRDefault="00A20F52" w:rsidP="00ED044B">
                            <w:pPr>
                              <w:spacing w:before="40" w:after="40"/>
                              <w:jc w:val="center"/>
                              <w:cnfStyle w:val="100000000000" w:firstRow="1" w:lastRow="0" w:firstColumn="0" w:lastColumn="0" w:oddVBand="0" w:evenVBand="0" w:oddHBand="0" w:evenHBand="0" w:firstRowFirstColumn="0" w:firstRowLastColumn="0" w:lastRowFirstColumn="0" w:lastRowLastColumn="0"/>
                              <w:rPr>
                                <w:b w:val="0"/>
                                <w:bCs w:val="0"/>
                                <w:szCs w:val="22"/>
                              </w:rPr>
                            </w:pPr>
                            <w:r w:rsidRPr="008D1EFE">
                              <w:rPr>
                                <w:szCs w:val="22"/>
                              </w:rPr>
                              <w:t xml:space="preserve">Became </w:t>
                            </w:r>
                            <w:r>
                              <w:rPr>
                                <w:szCs w:val="22"/>
                              </w:rPr>
                              <w:t xml:space="preserve">an </w:t>
                            </w:r>
                            <w:r w:rsidRPr="008D1EFE">
                              <w:rPr>
                                <w:szCs w:val="22"/>
                              </w:rPr>
                              <w:t>advocacy client</w:t>
                            </w:r>
                          </w:p>
                        </w:tc>
                        <w:tc>
                          <w:tcPr>
                            <w:tcW w:w="1985" w:type="dxa"/>
                          </w:tcPr>
                          <w:p w14:paraId="4964D633" w14:textId="77777777" w:rsidR="00A20F52" w:rsidRPr="008D1EFE" w:rsidRDefault="00A20F52" w:rsidP="00ED044B">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b w:val="0"/>
                                <w:bCs w:val="0"/>
                                <w:szCs w:val="22"/>
                              </w:rPr>
                            </w:pPr>
                            <w:r w:rsidRPr="008D1EFE">
                              <w:rPr>
                                <w:szCs w:val="22"/>
                              </w:rPr>
                              <w:t>Did not become an advocacy client</w:t>
                            </w:r>
                            <w:r>
                              <w:rPr>
                                <w:szCs w:val="22"/>
                              </w:rPr>
                              <w:t xml:space="preserve"> (eligible)</w:t>
                            </w:r>
                          </w:p>
                        </w:tc>
                        <w:tc>
                          <w:tcPr>
                            <w:tcW w:w="1559" w:type="dxa"/>
                          </w:tcPr>
                          <w:p w14:paraId="3C7A3C38" w14:textId="77777777" w:rsidR="00A20F52" w:rsidRPr="008D1EFE" w:rsidRDefault="00A20F52" w:rsidP="00ED044B">
                            <w:pPr>
                              <w:spacing w:before="40" w:after="40"/>
                              <w:jc w:val="center"/>
                              <w:cnfStyle w:val="100000000000" w:firstRow="1" w:lastRow="0" w:firstColumn="0" w:lastColumn="0" w:oddVBand="0" w:evenVBand="0" w:oddHBand="0" w:evenHBand="0" w:firstRowFirstColumn="0" w:firstRowLastColumn="0" w:lastRowFirstColumn="0" w:lastRowLastColumn="0"/>
                              <w:rPr>
                                <w:szCs w:val="22"/>
                              </w:rPr>
                            </w:pPr>
                            <w:r>
                              <w:rPr>
                                <w:szCs w:val="22"/>
                              </w:rPr>
                              <w:t>On waitlist at end of month</w:t>
                            </w:r>
                          </w:p>
                        </w:tc>
                        <w:tc>
                          <w:tcPr>
                            <w:tcW w:w="1559" w:type="dxa"/>
                            <w:noWrap/>
                            <w:hideMark/>
                          </w:tcPr>
                          <w:p w14:paraId="3864F414" w14:textId="77777777" w:rsidR="00A20F52" w:rsidRPr="008D1EFE" w:rsidRDefault="00A20F52" w:rsidP="00ED044B">
                            <w:pPr>
                              <w:spacing w:before="40" w:after="40"/>
                              <w:jc w:val="center"/>
                              <w:cnfStyle w:val="100000000000" w:firstRow="1" w:lastRow="0" w:firstColumn="0" w:lastColumn="0" w:oddVBand="0" w:evenVBand="0" w:oddHBand="0" w:evenHBand="0" w:firstRowFirstColumn="0" w:firstRowLastColumn="0" w:lastRowFirstColumn="0" w:lastRowLastColumn="0"/>
                              <w:rPr>
                                <w:b w:val="0"/>
                                <w:bCs w:val="0"/>
                                <w:szCs w:val="22"/>
                              </w:rPr>
                            </w:pPr>
                            <w:r w:rsidRPr="008D1EFE">
                              <w:rPr>
                                <w:szCs w:val="22"/>
                              </w:rPr>
                              <w:t>TOTAL</w:t>
                            </w:r>
                            <w:r>
                              <w:rPr>
                                <w:szCs w:val="22"/>
                              </w:rPr>
                              <w:t xml:space="preserve"> eligible</w:t>
                            </w:r>
                            <w:r>
                              <w:rPr>
                                <w:b w:val="0"/>
                                <w:bCs w:val="0"/>
                                <w:szCs w:val="22"/>
                              </w:rPr>
                              <w:t xml:space="preserve"> </w:t>
                            </w:r>
                            <w:r w:rsidRPr="0016548E">
                              <w:rPr>
                                <w:szCs w:val="22"/>
                              </w:rPr>
                              <w:t>requests</w:t>
                            </w:r>
                          </w:p>
                        </w:tc>
                      </w:tr>
                      <w:tr w:rsidR="00A20F52" w:rsidRPr="00CD24D8" w14:paraId="47D11FD1" w14:textId="77777777" w:rsidTr="00ED044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hideMark/>
                          </w:tcPr>
                          <w:p w14:paraId="269B3908" w14:textId="77777777" w:rsidR="00A20F52" w:rsidRPr="008D1EFE" w:rsidRDefault="00A20F52" w:rsidP="00ED044B">
                            <w:pPr>
                              <w:spacing w:before="40" w:after="40"/>
                              <w:rPr>
                                <w:szCs w:val="22"/>
                              </w:rPr>
                            </w:pPr>
                            <w:r w:rsidRPr="008D1EFE">
                              <w:rPr>
                                <w:szCs w:val="22"/>
                              </w:rPr>
                              <w:t>September 2021</w:t>
                            </w:r>
                          </w:p>
                        </w:tc>
                        <w:tc>
                          <w:tcPr>
                            <w:tcW w:w="1842" w:type="dxa"/>
                            <w:noWrap/>
                            <w:hideMark/>
                          </w:tcPr>
                          <w:p w14:paraId="2BE7BAB4" w14:textId="77777777" w:rsidR="00A20F52" w:rsidRPr="008D1EFE"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sidRPr="008D1EFE">
                              <w:rPr>
                                <w:szCs w:val="22"/>
                              </w:rPr>
                              <w:t>1</w:t>
                            </w:r>
                            <w:r>
                              <w:rPr>
                                <w:szCs w:val="22"/>
                              </w:rPr>
                              <w:t>,</w:t>
                            </w:r>
                            <w:r w:rsidRPr="008D1EFE">
                              <w:rPr>
                                <w:szCs w:val="22"/>
                              </w:rPr>
                              <w:t>791 (</w:t>
                            </w:r>
                            <w:r>
                              <w:rPr>
                                <w:szCs w:val="22"/>
                              </w:rPr>
                              <w:t>59</w:t>
                            </w:r>
                            <w:r w:rsidRPr="008D1EFE">
                              <w:rPr>
                                <w:szCs w:val="22"/>
                              </w:rPr>
                              <w:t>%)</w:t>
                            </w:r>
                          </w:p>
                        </w:tc>
                        <w:tc>
                          <w:tcPr>
                            <w:tcW w:w="1985" w:type="dxa"/>
                          </w:tcPr>
                          <w:p w14:paraId="73F25A36" w14:textId="77777777" w:rsidR="00A20F52" w:rsidRPr="008D1EFE"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453 (15%)</w:t>
                            </w:r>
                          </w:p>
                        </w:tc>
                        <w:tc>
                          <w:tcPr>
                            <w:tcW w:w="1559" w:type="dxa"/>
                          </w:tcPr>
                          <w:p w14:paraId="337BCD1E" w14:textId="77777777" w:rsidR="00A20F52" w:rsidRPr="008D1EFE"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784 (26%)</w:t>
                            </w:r>
                          </w:p>
                        </w:tc>
                        <w:tc>
                          <w:tcPr>
                            <w:tcW w:w="1559" w:type="dxa"/>
                            <w:noWrap/>
                            <w:hideMark/>
                          </w:tcPr>
                          <w:p w14:paraId="2F78C959" w14:textId="77777777" w:rsidR="00A20F52" w:rsidRPr="008D1EFE"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3,028</w:t>
                            </w:r>
                          </w:p>
                        </w:tc>
                      </w:tr>
                      <w:tr w:rsidR="00A20F52" w:rsidRPr="00CD24D8" w14:paraId="427D776A" w14:textId="77777777" w:rsidTr="00ED044B">
                        <w:trPr>
                          <w:trHeight w:val="288"/>
                        </w:trPr>
                        <w:tc>
                          <w:tcPr>
                            <w:cnfStyle w:val="001000000000" w:firstRow="0" w:lastRow="0" w:firstColumn="1" w:lastColumn="0" w:oddVBand="0" w:evenVBand="0" w:oddHBand="0" w:evenHBand="0" w:firstRowFirstColumn="0" w:firstRowLastColumn="0" w:lastRowFirstColumn="0" w:lastRowLastColumn="0"/>
                            <w:tcW w:w="2127" w:type="dxa"/>
                            <w:noWrap/>
                            <w:hideMark/>
                          </w:tcPr>
                          <w:p w14:paraId="3CBE6F84" w14:textId="77777777" w:rsidR="00A20F52" w:rsidRPr="008D1EFE" w:rsidRDefault="00A20F52" w:rsidP="00ED044B">
                            <w:pPr>
                              <w:spacing w:before="40" w:after="40"/>
                              <w:rPr>
                                <w:szCs w:val="22"/>
                              </w:rPr>
                            </w:pPr>
                            <w:r w:rsidRPr="008D1EFE">
                              <w:rPr>
                                <w:szCs w:val="22"/>
                              </w:rPr>
                              <w:t>October 2021</w:t>
                            </w:r>
                          </w:p>
                        </w:tc>
                        <w:tc>
                          <w:tcPr>
                            <w:tcW w:w="1842" w:type="dxa"/>
                            <w:noWrap/>
                            <w:hideMark/>
                          </w:tcPr>
                          <w:p w14:paraId="70C8E594" w14:textId="77777777" w:rsidR="00A20F52" w:rsidRPr="008D1EFE" w:rsidRDefault="00A20F52"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sidRPr="008D1EFE">
                              <w:rPr>
                                <w:szCs w:val="22"/>
                              </w:rPr>
                              <w:t>1</w:t>
                            </w:r>
                            <w:r>
                              <w:rPr>
                                <w:szCs w:val="22"/>
                              </w:rPr>
                              <w:t>,</w:t>
                            </w:r>
                            <w:r w:rsidRPr="008D1EFE">
                              <w:rPr>
                                <w:szCs w:val="22"/>
                              </w:rPr>
                              <w:t>643 (</w:t>
                            </w:r>
                            <w:r>
                              <w:rPr>
                                <w:szCs w:val="22"/>
                              </w:rPr>
                              <w:t>48</w:t>
                            </w:r>
                            <w:r w:rsidRPr="008D1EFE">
                              <w:rPr>
                                <w:szCs w:val="22"/>
                              </w:rPr>
                              <w:t>%)</w:t>
                            </w:r>
                          </w:p>
                        </w:tc>
                        <w:tc>
                          <w:tcPr>
                            <w:tcW w:w="1985" w:type="dxa"/>
                          </w:tcPr>
                          <w:p w14:paraId="661C5BAB" w14:textId="77777777" w:rsidR="00A20F52" w:rsidRPr="008D1EFE" w:rsidRDefault="00A20F52"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858 (25%</w:t>
                            </w:r>
                            <w:r w:rsidRPr="008D1EFE">
                              <w:rPr>
                                <w:szCs w:val="22"/>
                              </w:rPr>
                              <w:t>)</w:t>
                            </w:r>
                          </w:p>
                        </w:tc>
                        <w:tc>
                          <w:tcPr>
                            <w:tcW w:w="1559" w:type="dxa"/>
                          </w:tcPr>
                          <w:p w14:paraId="68F5A787" w14:textId="77777777" w:rsidR="00A20F52" w:rsidRPr="008D1EFE" w:rsidRDefault="00A20F52"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915 (27%)</w:t>
                            </w:r>
                          </w:p>
                        </w:tc>
                        <w:tc>
                          <w:tcPr>
                            <w:tcW w:w="1559" w:type="dxa"/>
                            <w:noWrap/>
                            <w:hideMark/>
                          </w:tcPr>
                          <w:p w14:paraId="3328E246" w14:textId="77777777" w:rsidR="00A20F52" w:rsidRPr="008D1EFE" w:rsidRDefault="00A20F52"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3,416</w:t>
                            </w:r>
                          </w:p>
                        </w:tc>
                      </w:tr>
                      <w:tr w:rsidR="00A20F52" w:rsidRPr="00CD24D8" w14:paraId="5799B4A6" w14:textId="77777777" w:rsidTr="00ED044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hideMark/>
                          </w:tcPr>
                          <w:p w14:paraId="625AEB22" w14:textId="77777777" w:rsidR="00A20F52" w:rsidRPr="008D1EFE" w:rsidRDefault="00A20F52" w:rsidP="00ED044B">
                            <w:pPr>
                              <w:spacing w:before="40" w:after="40"/>
                              <w:rPr>
                                <w:szCs w:val="22"/>
                              </w:rPr>
                            </w:pPr>
                            <w:r w:rsidRPr="008D1EFE">
                              <w:rPr>
                                <w:szCs w:val="22"/>
                              </w:rPr>
                              <w:t>November 2021</w:t>
                            </w:r>
                          </w:p>
                        </w:tc>
                        <w:tc>
                          <w:tcPr>
                            <w:tcW w:w="1842" w:type="dxa"/>
                            <w:noWrap/>
                            <w:hideMark/>
                          </w:tcPr>
                          <w:p w14:paraId="54FB5815" w14:textId="77777777" w:rsidR="00A20F52" w:rsidRPr="008D1EFE"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sidRPr="008D1EFE">
                              <w:rPr>
                                <w:szCs w:val="22"/>
                              </w:rPr>
                              <w:t>1</w:t>
                            </w:r>
                            <w:r>
                              <w:rPr>
                                <w:szCs w:val="22"/>
                              </w:rPr>
                              <w:t>,</w:t>
                            </w:r>
                            <w:r w:rsidRPr="008D1EFE">
                              <w:rPr>
                                <w:szCs w:val="22"/>
                              </w:rPr>
                              <w:t>637 (</w:t>
                            </w:r>
                            <w:r>
                              <w:rPr>
                                <w:szCs w:val="22"/>
                              </w:rPr>
                              <w:t>53</w:t>
                            </w:r>
                            <w:r w:rsidRPr="008D1EFE">
                              <w:rPr>
                                <w:szCs w:val="22"/>
                              </w:rPr>
                              <w:t>%)</w:t>
                            </w:r>
                          </w:p>
                        </w:tc>
                        <w:tc>
                          <w:tcPr>
                            <w:tcW w:w="1985" w:type="dxa"/>
                          </w:tcPr>
                          <w:p w14:paraId="496F0A93" w14:textId="77777777" w:rsidR="00A20F52" w:rsidRPr="008D1EFE"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549 (18%</w:t>
                            </w:r>
                            <w:r w:rsidRPr="008D1EFE">
                              <w:rPr>
                                <w:szCs w:val="22"/>
                              </w:rPr>
                              <w:t>)</w:t>
                            </w:r>
                          </w:p>
                        </w:tc>
                        <w:tc>
                          <w:tcPr>
                            <w:tcW w:w="1559" w:type="dxa"/>
                          </w:tcPr>
                          <w:p w14:paraId="43F5874A" w14:textId="77777777" w:rsidR="00A20F52" w:rsidRPr="008D1EFE"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901 (29%)</w:t>
                            </w:r>
                          </w:p>
                        </w:tc>
                        <w:tc>
                          <w:tcPr>
                            <w:tcW w:w="1559" w:type="dxa"/>
                            <w:noWrap/>
                            <w:hideMark/>
                          </w:tcPr>
                          <w:p w14:paraId="3D53EC36" w14:textId="77777777" w:rsidR="00A20F52" w:rsidRPr="008D1EFE"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3,087</w:t>
                            </w:r>
                          </w:p>
                        </w:tc>
                      </w:tr>
                      <w:tr w:rsidR="00A20F52" w:rsidRPr="00CD24D8" w14:paraId="18551781" w14:textId="77777777" w:rsidTr="00ED044B">
                        <w:trPr>
                          <w:trHeight w:val="288"/>
                        </w:trPr>
                        <w:tc>
                          <w:tcPr>
                            <w:cnfStyle w:val="001000000000" w:firstRow="0" w:lastRow="0" w:firstColumn="1" w:lastColumn="0" w:oddVBand="0" w:evenVBand="0" w:oddHBand="0" w:evenHBand="0" w:firstRowFirstColumn="0" w:firstRowLastColumn="0" w:lastRowFirstColumn="0" w:lastRowLastColumn="0"/>
                            <w:tcW w:w="2127" w:type="dxa"/>
                            <w:noWrap/>
                            <w:hideMark/>
                          </w:tcPr>
                          <w:p w14:paraId="3EB426C3" w14:textId="77777777" w:rsidR="00A20F52" w:rsidRPr="008D1EFE" w:rsidRDefault="00A20F52" w:rsidP="00ED044B">
                            <w:pPr>
                              <w:spacing w:before="40" w:after="40"/>
                              <w:rPr>
                                <w:szCs w:val="22"/>
                              </w:rPr>
                            </w:pPr>
                            <w:r w:rsidRPr="008D1EFE">
                              <w:rPr>
                                <w:szCs w:val="22"/>
                              </w:rPr>
                              <w:t>December 2021</w:t>
                            </w:r>
                          </w:p>
                        </w:tc>
                        <w:tc>
                          <w:tcPr>
                            <w:tcW w:w="1842" w:type="dxa"/>
                            <w:noWrap/>
                            <w:hideMark/>
                          </w:tcPr>
                          <w:p w14:paraId="203FD43E" w14:textId="77777777" w:rsidR="00A20F52" w:rsidRPr="008D1EFE" w:rsidRDefault="00A20F52"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sidRPr="008D1EFE">
                              <w:rPr>
                                <w:szCs w:val="22"/>
                              </w:rPr>
                              <w:t>1</w:t>
                            </w:r>
                            <w:r>
                              <w:rPr>
                                <w:szCs w:val="22"/>
                              </w:rPr>
                              <w:t>,</w:t>
                            </w:r>
                            <w:r w:rsidRPr="008D1EFE">
                              <w:rPr>
                                <w:szCs w:val="22"/>
                              </w:rPr>
                              <w:t>097 (</w:t>
                            </w:r>
                            <w:r>
                              <w:rPr>
                                <w:szCs w:val="22"/>
                              </w:rPr>
                              <w:t>46</w:t>
                            </w:r>
                            <w:r w:rsidRPr="008D1EFE">
                              <w:rPr>
                                <w:szCs w:val="22"/>
                              </w:rPr>
                              <w:t>%)</w:t>
                            </w:r>
                          </w:p>
                        </w:tc>
                        <w:tc>
                          <w:tcPr>
                            <w:tcW w:w="1985" w:type="dxa"/>
                          </w:tcPr>
                          <w:p w14:paraId="4BBE1A5A" w14:textId="77777777" w:rsidR="00A20F52" w:rsidRPr="008D1EFE" w:rsidRDefault="00A20F52"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538 (23%</w:t>
                            </w:r>
                            <w:r w:rsidRPr="008D1EFE">
                              <w:rPr>
                                <w:szCs w:val="22"/>
                              </w:rPr>
                              <w:t>)</w:t>
                            </w:r>
                          </w:p>
                        </w:tc>
                        <w:tc>
                          <w:tcPr>
                            <w:tcW w:w="1559" w:type="dxa"/>
                          </w:tcPr>
                          <w:p w14:paraId="5705C1A4" w14:textId="77777777" w:rsidR="00A20F52" w:rsidRPr="008D1EFE" w:rsidRDefault="00A20F52"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731 (31%)</w:t>
                            </w:r>
                          </w:p>
                        </w:tc>
                        <w:tc>
                          <w:tcPr>
                            <w:tcW w:w="1559" w:type="dxa"/>
                            <w:noWrap/>
                            <w:hideMark/>
                          </w:tcPr>
                          <w:p w14:paraId="12E28D58" w14:textId="77777777" w:rsidR="00A20F52" w:rsidRPr="008D1EFE" w:rsidRDefault="00A20F52"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2,366</w:t>
                            </w:r>
                          </w:p>
                        </w:tc>
                      </w:tr>
                      <w:tr w:rsidR="00A20F52" w:rsidRPr="00CD24D8" w14:paraId="171FE530" w14:textId="77777777" w:rsidTr="00ED044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hideMark/>
                          </w:tcPr>
                          <w:p w14:paraId="13735BA0" w14:textId="77777777" w:rsidR="00A20F52" w:rsidRPr="008D1EFE" w:rsidRDefault="00A20F52" w:rsidP="00ED044B">
                            <w:pPr>
                              <w:spacing w:before="40" w:after="40"/>
                              <w:rPr>
                                <w:szCs w:val="22"/>
                              </w:rPr>
                            </w:pPr>
                            <w:r w:rsidRPr="008D1EFE">
                              <w:rPr>
                                <w:szCs w:val="22"/>
                              </w:rPr>
                              <w:t>January 2022</w:t>
                            </w:r>
                          </w:p>
                        </w:tc>
                        <w:tc>
                          <w:tcPr>
                            <w:tcW w:w="1842" w:type="dxa"/>
                            <w:noWrap/>
                            <w:hideMark/>
                          </w:tcPr>
                          <w:p w14:paraId="4B8EBF99" w14:textId="77777777" w:rsidR="00A20F52" w:rsidRPr="008D1EFE"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sidRPr="008D1EFE">
                              <w:rPr>
                                <w:szCs w:val="22"/>
                              </w:rPr>
                              <w:t>1</w:t>
                            </w:r>
                            <w:r>
                              <w:rPr>
                                <w:szCs w:val="22"/>
                              </w:rPr>
                              <w:t>,</w:t>
                            </w:r>
                            <w:r w:rsidRPr="008D1EFE">
                              <w:rPr>
                                <w:szCs w:val="22"/>
                              </w:rPr>
                              <w:t>405 (</w:t>
                            </w:r>
                            <w:r>
                              <w:rPr>
                                <w:szCs w:val="22"/>
                              </w:rPr>
                              <w:t>53</w:t>
                            </w:r>
                            <w:r w:rsidRPr="008D1EFE">
                              <w:rPr>
                                <w:szCs w:val="22"/>
                              </w:rPr>
                              <w:t>%)</w:t>
                            </w:r>
                          </w:p>
                        </w:tc>
                        <w:tc>
                          <w:tcPr>
                            <w:tcW w:w="1985" w:type="dxa"/>
                          </w:tcPr>
                          <w:p w14:paraId="3E592C72" w14:textId="77777777" w:rsidR="00A20F52" w:rsidRPr="008D1EFE"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484 (18%</w:t>
                            </w:r>
                            <w:r w:rsidRPr="008D1EFE">
                              <w:rPr>
                                <w:szCs w:val="22"/>
                              </w:rPr>
                              <w:t>)</w:t>
                            </w:r>
                          </w:p>
                        </w:tc>
                        <w:tc>
                          <w:tcPr>
                            <w:tcW w:w="1559" w:type="dxa"/>
                          </w:tcPr>
                          <w:p w14:paraId="7E0ADF69" w14:textId="77777777" w:rsidR="00A20F52" w:rsidRPr="008D1EFE"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787 (29%)</w:t>
                            </w:r>
                          </w:p>
                        </w:tc>
                        <w:tc>
                          <w:tcPr>
                            <w:tcW w:w="1559" w:type="dxa"/>
                            <w:noWrap/>
                            <w:hideMark/>
                          </w:tcPr>
                          <w:p w14:paraId="0229C2B9" w14:textId="77777777" w:rsidR="00A20F52" w:rsidRPr="008D1EFE"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2,676</w:t>
                            </w:r>
                          </w:p>
                        </w:tc>
                      </w:tr>
                      <w:tr w:rsidR="00A20F52" w:rsidRPr="00CD24D8" w14:paraId="69D36C6B" w14:textId="77777777" w:rsidTr="00ED044B">
                        <w:trPr>
                          <w:trHeight w:val="288"/>
                        </w:trPr>
                        <w:tc>
                          <w:tcPr>
                            <w:cnfStyle w:val="001000000000" w:firstRow="0" w:lastRow="0" w:firstColumn="1" w:lastColumn="0" w:oddVBand="0" w:evenVBand="0" w:oddHBand="0" w:evenHBand="0" w:firstRowFirstColumn="0" w:firstRowLastColumn="0" w:lastRowFirstColumn="0" w:lastRowLastColumn="0"/>
                            <w:tcW w:w="2127" w:type="dxa"/>
                            <w:noWrap/>
                            <w:hideMark/>
                          </w:tcPr>
                          <w:p w14:paraId="3DA81BD6" w14:textId="77777777" w:rsidR="00A20F52" w:rsidRPr="008D1EFE" w:rsidRDefault="00A20F52" w:rsidP="00ED044B">
                            <w:pPr>
                              <w:spacing w:before="40" w:after="40"/>
                              <w:rPr>
                                <w:szCs w:val="22"/>
                              </w:rPr>
                            </w:pPr>
                            <w:r w:rsidRPr="008D1EFE">
                              <w:rPr>
                                <w:szCs w:val="22"/>
                              </w:rPr>
                              <w:t>February 2022</w:t>
                            </w:r>
                          </w:p>
                        </w:tc>
                        <w:tc>
                          <w:tcPr>
                            <w:tcW w:w="1842" w:type="dxa"/>
                            <w:noWrap/>
                            <w:hideMark/>
                          </w:tcPr>
                          <w:p w14:paraId="7540B077" w14:textId="77777777" w:rsidR="00A20F52" w:rsidRPr="008D1EFE" w:rsidRDefault="00A20F52"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sidRPr="008D1EFE">
                              <w:rPr>
                                <w:szCs w:val="22"/>
                              </w:rPr>
                              <w:t>1</w:t>
                            </w:r>
                            <w:r>
                              <w:rPr>
                                <w:szCs w:val="22"/>
                              </w:rPr>
                              <w:t>,</w:t>
                            </w:r>
                            <w:r w:rsidRPr="008D1EFE">
                              <w:rPr>
                                <w:szCs w:val="22"/>
                              </w:rPr>
                              <w:t>614 (</w:t>
                            </w:r>
                            <w:r>
                              <w:rPr>
                                <w:szCs w:val="22"/>
                              </w:rPr>
                              <w:t>54</w:t>
                            </w:r>
                            <w:r w:rsidRPr="008D1EFE">
                              <w:rPr>
                                <w:szCs w:val="22"/>
                              </w:rPr>
                              <w:t>%)</w:t>
                            </w:r>
                          </w:p>
                        </w:tc>
                        <w:tc>
                          <w:tcPr>
                            <w:tcW w:w="1985" w:type="dxa"/>
                          </w:tcPr>
                          <w:p w14:paraId="4DBEA942" w14:textId="77777777" w:rsidR="00A20F52" w:rsidRPr="008D1EFE" w:rsidRDefault="00A20F52"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516 (18%</w:t>
                            </w:r>
                            <w:r w:rsidRPr="008D1EFE">
                              <w:rPr>
                                <w:szCs w:val="22"/>
                              </w:rPr>
                              <w:t>)</w:t>
                            </w:r>
                          </w:p>
                        </w:tc>
                        <w:tc>
                          <w:tcPr>
                            <w:tcW w:w="1559" w:type="dxa"/>
                          </w:tcPr>
                          <w:p w14:paraId="267035B3" w14:textId="77777777" w:rsidR="00A20F52" w:rsidRPr="008D1EFE" w:rsidRDefault="00A20F52"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835 (28%)</w:t>
                            </w:r>
                          </w:p>
                        </w:tc>
                        <w:tc>
                          <w:tcPr>
                            <w:tcW w:w="1559" w:type="dxa"/>
                            <w:noWrap/>
                            <w:hideMark/>
                          </w:tcPr>
                          <w:p w14:paraId="39C8DD02" w14:textId="77777777" w:rsidR="00A20F52" w:rsidRPr="008D1EFE" w:rsidRDefault="00A20F52"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2,965</w:t>
                            </w:r>
                          </w:p>
                        </w:tc>
                      </w:tr>
                      <w:tr w:rsidR="00A20F52" w:rsidRPr="009B3F71" w14:paraId="22105356" w14:textId="77777777" w:rsidTr="00ED044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tcPr>
                          <w:p w14:paraId="6EF324C7" w14:textId="77777777" w:rsidR="00A20F52" w:rsidRPr="009B3F71" w:rsidRDefault="00A20F52" w:rsidP="00ED044B">
                            <w:pPr>
                              <w:spacing w:before="40" w:after="40"/>
                              <w:rPr>
                                <w:b w:val="0"/>
                                <w:bCs w:val="0"/>
                                <w:szCs w:val="22"/>
                              </w:rPr>
                            </w:pPr>
                            <w:r w:rsidRPr="009B3F71">
                              <w:rPr>
                                <w:szCs w:val="22"/>
                              </w:rPr>
                              <w:t>TOTAL</w:t>
                            </w:r>
                          </w:p>
                        </w:tc>
                        <w:tc>
                          <w:tcPr>
                            <w:tcW w:w="1842" w:type="dxa"/>
                            <w:noWrap/>
                          </w:tcPr>
                          <w:p w14:paraId="00D6D351" w14:textId="77777777" w:rsidR="00A20F52" w:rsidRPr="009B3F71"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b/>
                                <w:bCs/>
                                <w:szCs w:val="22"/>
                              </w:rPr>
                            </w:pPr>
                            <w:r w:rsidRPr="009B3F71">
                              <w:rPr>
                                <w:b/>
                                <w:bCs/>
                                <w:szCs w:val="22"/>
                              </w:rPr>
                              <w:t>9,187 (</w:t>
                            </w:r>
                            <w:r>
                              <w:rPr>
                                <w:b/>
                                <w:bCs/>
                                <w:szCs w:val="22"/>
                              </w:rPr>
                              <w:t>52</w:t>
                            </w:r>
                            <w:r w:rsidRPr="009B3F71">
                              <w:rPr>
                                <w:b/>
                                <w:bCs/>
                                <w:szCs w:val="22"/>
                              </w:rPr>
                              <w:t>%)</w:t>
                            </w:r>
                          </w:p>
                        </w:tc>
                        <w:tc>
                          <w:tcPr>
                            <w:tcW w:w="1985" w:type="dxa"/>
                          </w:tcPr>
                          <w:p w14:paraId="4C7588FE" w14:textId="77777777" w:rsidR="00A20F52" w:rsidRPr="009B3F71"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b/>
                                <w:bCs/>
                                <w:szCs w:val="22"/>
                              </w:rPr>
                            </w:pPr>
                            <w:r>
                              <w:rPr>
                                <w:b/>
                                <w:bCs/>
                                <w:szCs w:val="22"/>
                              </w:rPr>
                              <w:t>3,398 (20%)</w:t>
                            </w:r>
                          </w:p>
                        </w:tc>
                        <w:tc>
                          <w:tcPr>
                            <w:tcW w:w="1559" w:type="dxa"/>
                          </w:tcPr>
                          <w:p w14:paraId="54154573" w14:textId="77777777" w:rsidR="00A20F52" w:rsidRPr="009B3F71"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b/>
                                <w:bCs/>
                                <w:szCs w:val="22"/>
                              </w:rPr>
                            </w:pPr>
                            <w:r>
                              <w:rPr>
                                <w:b/>
                                <w:bCs/>
                                <w:szCs w:val="22"/>
                              </w:rPr>
                              <w:t>4,953 (28%)</w:t>
                            </w:r>
                          </w:p>
                        </w:tc>
                        <w:tc>
                          <w:tcPr>
                            <w:tcW w:w="1559" w:type="dxa"/>
                            <w:noWrap/>
                          </w:tcPr>
                          <w:p w14:paraId="4F163587" w14:textId="77777777" w:rsidR="00A20F52" w:rsidRPr="009B3F71" w:rsidRDefault="00A20F52" w:rsidP="00ED044B">
                            <w:pPr>
                              <w:spacing w:before="40" w:after="40"/>
                              <w:jc w:val="center"/>
                              <w:cnfStyle w:val="000000100000" w:firstRow="0" w:lastRow="0" w:firstColumn="0" w:lastColumn="0" w:oddVBand="0" w:evenVBand="0" w:oddHBand="1" w:evenHBand="0" w:firstRowFirstColumn="0" w:firstRowLastColumn="0" w:lastRowFirstColumn="0" w:lastRowLastColumn="0"/>
                              <w:rPr>
                                <w:b/>
                                <w:bCs/>
                                <w:szCs w:val="22"/>
                              </w:rPr>
                            </w:pPr>
                            <w:r>
                              <w:rPr>
                                <w:b/>
                                <w:bCs/>
                                <w:szCs w:val="22"/>
                              </w:rPr>
                              <w:t>17,538</w:t>
                            </w:r>
                          </w:p>
                        </w:tc>
                      </w:tr>
                    </w:tbl>
                    <w:p w14:paraId="67DCD0F8" w14:textId="34BAD21F" w:rsidR="00A20F52" w:rsidRDefault="00A20F52"/>
                  </w:txbxContent>
                </v:textbox>
                <w10:wrap type="square" anchorx="margin"/>
              </v:shape>
            </w:pict>
          </mc:Fallback>
        </mc:AlternateContent>
      </w:r>
      <w:r w:rsidRPr="00A20F52">
        <w:rPr>
          <w:rStyle w:val="Heading5Char"/>
        </w:rPr>
        <w:t xml:space="preserve">Table </w:t>
      </w:r>
      <w:r w:rsidRPr="00A20F52">
        <w:rPr>
          <w:rStyle w:val="Heading5Char"/>
        </w:rPr>
        <w:fldChar w:fldCharType="begin"/>
      </w:r>
      <w:r w:rsidRPr="00A20F52">
        <w:rPr>
          <w:rStyle w:val="Heading5Char"/>
        </w:rPr>
        <w:instrText xml:space="preserve"> SEQ Table \* ARABIC </w:instrText>
      </w:r>
      <w:r w:rsidRPr="00A20F52">
        <w:rPr>
          <w:rStyle w:val="Heading5Char"/>
        </w:rPr>
        <w:fldChar w:fldCharType="separate"/>
      </w:r>
      <w:r w:rsidR="00C8748D">
        <w:rPr>
          <w:rStyle w:val="Heading5Char"/>
          <w:noProof/>
        </w:rPr>
        <w:t>2</w:t>
      </w:r>
      <w:r w:rsidRPr="00A20F52">
        <w:rPr>
          <w:rStyle w:val="Heading5Char"/>
        </w:rPr>
        <w:fldChar w:fldCharType="end"/>
      </w:r>
      <w:r w:rsidRPr="00A20F52">
        <w:rPr>
          <w:rStyle w:val="Heading5Char"/>
        </w:rPr>
        <w:t>: Unmet demand and waitlist trends across all jurisdictions and funding streams: September 2021 – February 2022</w:t>
      </w:r>
      <w:bookmarkEnd w:id="32"/>
    </w:p>
    <w:p w14:paraId="17B2F776" w14:textId="28755C98" w:rsidR="00A20F52" w:rsidRDefault="00A20F52" w:rsidP="00A20F52"/>
    <w:p w14:paraId="6C26CB02" w14:textId="76DD99DA" w:rsidR="00D911EA" w:rsidRDefault="002B601A" w:rsidP="002B601A">
      <w:pPr>
        <w:pStyle w:val="Caption"/>
      </w:pPr>
      <w:bookmarkStart w:id="33" w:name="_Toc144384911"/>
      <w:bookmarkStart w:id="34" w:name="_Toc144384940"/>
      <w:bookmarkStart w:id="35" w:name="_Toc149667988"/>
      <w:r>
        <w:lastRenderedPageBreak/>
        <w:t xml:space="preserve">Figure </w:t>
      </w:r>
      <w:r w:rsidR="00FC3DB4">
        <w:fldChar w:fldCharType="begin"/>
      </w:r>
      <w:r w:rsidR="00FC3DB4">
        <w:instrText xml:space="preserve"> SEQ Figure \* ARABIC </w:instrText>
      </w:r>
      <w:r w:rsidR="00FC3DB4">
        <w:fldChar w:fldCharType="separate"/>
      </w:r>
      <w:r w:rsidR="00C8748D">
        <w:rPr>
          <w:noProof/>
        </w:rPr>
        <w:t>5</w:t>
      </w:r>
      <w:r w:rsidR="00FC3DB4">
        <w:rPr>
          <w:noProof/>
        </w:rPr>
        <w:fldChar w:fldCharType="end"/>
      </w:r>
      <w:r>
        <w:t xml:space="preserve">: </w:t>
      </w:r>
      <w:r w:rsidR="00D911EA">
        <w:t>Unmet demand and waitlist trends across all jurisdictions and funding streams: September 2021 – February 2022</w:t>
      </w:r>
      <w:bookmarkEnd w:id="33"/>
      <w:bookmarkEnd w:id="34"/>
      <w:r w:rsidR="00FA2DAC">
        <w:rPr>
          <w:rStyle w:val="FootnoteReference"/>
        </w:rPr>
        <w:footnoteReference w:id="15"/>
      </w:r>
      <w:bookmarkEnd w:id="35"/>
    </w:p>
    <w:p w14:paraId="77A5644B" w14:textId="65AE6CAF" w:rsidR="00342EE9" w:rsidRPr="00342EE9" w:rsidRDefault="001F0879" w:rsidP="00342EE9">
      <w:r>
        <w:rPr>
          <w:noProof/>
        </w:rPr>
        <w:drawing>
          <wp:inline distT="0" distB="0" distL="0" distR="0" wp14:anchorId="747E3B44" wp14:editId="61F9E71A">
            <wp:extent cx="5666400" cy="2527200"/>
            <wp:effectExtent l="0" t="0" r="10795" b="6985"/>
            <wp:docPr id="781196559" name="Chart 1">
              <a:extLst xmlns:a="http://schemas.openxmlformats.org/drawingml/2006/main">
                <a:ext uri="{FF2B5EF4-FFF2-40B4-BE49-F238E27FC236}">
                  <a16:creationId xmlns:a16="http://schemas.microsoft.com/office/drawing/2014/main" id="{1B5B3958-DFA6-75BC-C75C-F7099F4CB1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F9B009C" w14:textId="0C94275C" w:rsidR="002817F3" w:rsidRPr="00836E5E" w:rsidRDefault="00F75229" w:rsidP="00B67DD9">
      <w:pPr>
        <w:pStyle w:val="Heading4"/>
        <w:spacing w:before="360"/>
        <w:rPr>
          <w:rFonts w:cs="Helvetica"/>
          <w:sz w:val="22"/>
          <w:szCs w:val="22"/>
        </w:rPr>
      </w:pPr>
      <w:r>
        <w:t>U</w:t>
      </w:r>
      <w:r w:rsidR="00992BE2" w:rsidRPr="00836E5E">
        <w:t xml:space="preserve">nmet demand </w:t>
      </w:r>
      <w:r w:rsidR="00DB2DD6" w:rsidRPr="00836E5E">
        <w:t xml:space="preserve">in </w:t>
      </w:r>
      <w:r w:rsidR="00DB2DD6" w:rsidRPr="00836E5E">
        <w:rPr>
          <w:bCs/>
        </w:rPr>
        <w:t>eligible requests</w:t>
      </w:r>
      <w:r w:rsidR="00DB2DD6" w:rsidRPr="00836E5E">
        <w:t xml:space="preserve"> </w:t>
      </w:r>
      <w:r w:rsidR="004D114E">
        <w:t>–</w:t>
      </w:r>
      <w:r w:rsidR="00362CE0" w:rsidRPr="00836E5E">
        <w:t xml:space="preserve"> </w:t>
      </w:r>
      <w:r w:rsidR="00992BE2" w:rsidRPr="00836E5E">
        <w:t>by funding stream</w:t>
      </w:r>
    </w:p>
    <w:p w14:paraId="58735782" w14:textId="6BA22D3A" w:rsidR="0012271D" w:rsidRDefault="00DB2DD6" w:rsidP="00037275">
      <w:r w:rsidRPr="00836E5E">
        <w:t xml:space="preserve">Survey respondents provided data for the number of </w:t>
      </w:r>
      <w:r w:rsidRPr="00836E5E">
        <w:rPr>
          <w:bCs/>
        </w:rPr>
        <w:t>eligible requests</w:t>
      </w:r>
      <w:r w:rsidRPr="00836E5E">
        <w:t xml:space="preserve"> in each funding</w:t>
      </w:r>
      <w:r>
        <w:t xml:space="preserve"> stream that the organisation could not assist due to insufficient capacity (</w:t>
      </w:r>
      <w:r w:rsidR="00B67DD9">
        <w:t>Q</w:t>
      </w:r>
      <w:r>
        <w:t>uestion 7)</w:t>
      </w:r>
      <w:r w:rsidR="004D114E">
        <w:t xml:space="preserve"> (Figure 6)</w:t>
      </w:r>
      <w:r>
        <w:t xml:space="preserve">. </w:t>
      </w:r>
      <w:r w:rsidR="00996473">
        <w:t xml:space="preserve">The </w:t>
      </w:r>
      <w:r w:rsidR="00996473" w:rsidRPr="00FC23BA">
        <w:t xml:space="preserve">highest </w:t>
      </w:r>
      <w:r w:rsidR="00996473">
        <w:t xml:space="preserve">volume of advocacy requests </w:t>
      </w:r>
      <w:r w:rsidR="00EA1E3F">
        <w:t>fell</w:t>
      </w:r>
      <w:r w:rsidR="00996473">
        <w:t xml:space="preserve"> into the NDAP funding stream which covers </w:t>
      </w:r>
      <w:r w:rsidR="00996473" w:rsidRPr="00FC23BA">
        <w:t>the broadest range of advocacy issues.</w:t>
      </w:r>
      <w:r w:rsidR="00996473">
        <w:t xml:space="preserve"> </w:t>
      </w:r>
      <w:r w:rsidR="0033380E">
        <w:t>Over the 6</w:t>
      </w:r>
      <w:r w:rsidR="00B67DD9">
        <w:t>-</w:t>
      </w:r>
      <w:r w:rsidR="0033380E">
        <w:t>month period,</w:t>
      </w:r>
      <w:r w:rsidR="00CF3B61" w:rsidRPr="00FC23BA">
        <w:t xml:space="preserve"> </w:t>
      </w:r>
      <w:r w:rsidR="00CF3B61" w:rsidRPr="00DB2DD6">
        <w:t xml:space="preserve">3,258 eligible </w:t>
      </w:r>
      <w:r>
        <w:t xml:space="preserve">NDAP </w:t>
      </w:r>
      <w:r w:rsidR="00CF3B61" w:rsidRPr="00DB2DD6">
        <w:t xml:space="preserve">requests </w:t>
      </w:r>
      <w:r w:rsidR="0033380E" w:rsidRPr="00DB2DD6">
        <w:t xml:space="preserve">did not </w:t>
      </w:r>
      <w:r w:rsidR="00CF3B61" w:rsidRPr="00DB2DD6">
        <w:t xml:space="preserve">receive advocacy </w:t>
      </w:r>
      <w:r w:rsidR="00992BE2" w:rsidRPr="00DB2DD6">
        <w:t>when</w:t>
      </w:r>
      <w:r w:rsidR="00CF3B61" w:rsidRPr="00DB2DD6">
        <w:t xml:space="preserve"> requested</w:t>
      </w:r>
      <w:r w:rsidR="00992BE2" w:rsidRPr="00DB2DD6">
        <w:t xml:space="preserve"> representing 51% of total eligible</w:t>
      </w:r>
      <w:r w:rsidR="00992BE2">
        <w:t xml:space="preserve"> requests in this funding </w:t>
      </w:r>
      <w:r w:rsidR="00992BE2" w:rsidRPr="00CA0877">
        <w:t>stream</w:t>
      </w:r>
      <w:r w:rsidRPr="00CA0877">
        <w:t xml:space="preserve"> (</w:t>
      </w:r>
      <w:r w:rsidR="00D0156F">
        <w:t>Table 3</w:t>
      </w:r>
      <w:r w:rsidRPr="00CA0877">
        <w:t>)</w:t>
      </w:r>
      <w:r w:rsidR="00992BE2" w:rsidRPr="00CA0877">
        <w:t>.</w:t>
      </w:r>
      <w:r w:rsidR="00996473">
        <w:t xml:space="preserve"> </w:t>
      </w:r>
    </w:p>
    <w:p w14:paraId="5A62AA98" w14:textId="7406F4E1" w:rsidR="00CE4AEB" w:rsidRPr="00E34445" w:rsidRDefault="002B601A" w:rsidP="002B601A">
      <w:pPr>
        <w:pStyle w:val="Caption"/>
      </w:pPr>
      <w:bookmarkStart w:id="36" w:name="_Toc144384912"/>
      <w:bookmarkStart w:id="37" w:name="_Toc144384941"/>
      <w:bookmarkStart w:id="38" w:name="_Toc149667989"/>
      <w:r>
        <w:t xml:space="preserve">Figure </w:t>
      </w:r>
      <w:r w:rsidR="00FC3DB4">
        <w:fldChar w:fldCharType="begin"/>
      </w:r>
      <w:r w:rsidR="00FC3DB4">
        <w:instrText xml:space="preserve"> SEQ Figure \* ARABIC </w:instrText>
      </w:r>
      <w:r w:rsidR="00FC3DB4">
        <w:fldChar w:fldCharType="separate"/>
      </w:r>
      <w:r w:rsidR="00C8748D">
        <w:rPr>
          <w:noProof/>
        </w:rPr>
        <w:t>6</w:t>
      </w:r>
      <w:r w:rsidR="00FC3DB4">
        <w:rPr>
          <w:noProof/>
        </w:rPr>
        <w:fldChar w:fldCharType="end"/>
      </w:r>
      <w:r>
        <w:t xml:space="preserve">: </w:t>
      </w:r>
      <w:r w:rsidR="00CE4AEB" w:rsidRPr="00094B76">
        <w:t xml:space="preserve">Unmet demand and waitlist trends </w:t>
      </w:r>
      <w:r w:rsidR="00CE4AEB">
        <w:t>by</w:t>
      </w:r>
      <w:r w:rsidR="00CE4AEB" w:rsidRPr="00094B76">
        <w:t xml:space="preserve"> funding streams: September 2021 – February 2022</w:t>
      </w:r>
      <w:bookmarkEnd w:id="36"/>
      <w:bookmarkEnd w:id="37"/>
      <w:bookmarkEnd w:id="38"/>
    </w:p>
    <w:p w14:paraId="6616A5A9" w14:textId="7F58457F" w:rsidR="00CE4AEB" w:rsidRDefault="00CE4AEB" w:rsidP="00C67909">
      <w:pPr>
        <w:tabs>
          <w:tab w:val="left" w:pos="7797"/>
        </w:tabs>
      </w:pPr>
      <w:r>
        <w:rPr>
          <w:noProof/>
          <w:lang w:eastAsia="en-AU"/>
        </w:rPr>
        <w:drawing>
          <wp:inline distT="0" distB="0" distL="0" distR="0" wp14:anchorId="786F14C4" wp14:editId="346D348F">
            <wp:extent cx="5645150" cy="2965450"/>
            <wp:effectExtent l="0" t="0" r="12700" b="6350"/>
            <wp:docPr id="1034972791" name="Chart 1">
              <a:extLst xmlns:a="http://schemas.openxmlformats.org/drawingml/2006/main">
                <a:ext uri="{FF2B5EF4-FFF2-40B4-BE49-F238E27FC236}">
                  <a16:creationId xmlns:a16="http://schemas.microsoft.com/office/drawing/2014/main" id="{4ADCA17B-D291-EA72-61E9-E67CBCB739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62539A8" w14:textId="044DAEB0" w:rsidR="00CD330F" w:rsidRDefault="00CD330F" w:rsidP="00CD330F">
      <w:r>
        <w:lastRenderedPageBreak/>
        <w:t>Th</w:t>
      </w:r>
      <w:r w:rsidRPr="00F639BB">
        <w:t xml:space="preserve">e data shows that proportionately the </w:t>
      </w:r>
      <w:r w:rsidRPr="00F639BB">
        <w:rPr>
          <w:bCs/>
        </w:rPr>
        <w:t xml:space="preserve">NDIS Appeals </w:t>
      </w:r>
      <w:r>
        <w:rPr>
          <w:bCs/>
        </w:rPr>
        <w:t>Program</w:t>
      </w:r>
      <w:r w:rsidRPr="00F639BB">
        <w:t xml:space="preserve"> is under the greatest pressure</w:t>
      </w:r>
      <w:r w:rsidRPr="00FC23BA">
        <w:t xml:space="preserve"> </w:t>
      </w:r>
      <w:r>
        <w:t>with 58% of eligible requests for advocacy unmet (Table 3</w:t>
      </w:r>
      <w:r w:rsidR="004D114E">
        <w:t>,</w:t>
      </w:r>
      <w:r>
        <w:t xml:space="preserve"> Figure </w:t>
      </w:r>
      <w:r w:rsidR="004D114E">
        <w:t>7 and Figure 8</w:t>
      </w:r>
      <w:r w:rsidRPr="00EA1E3F">
        <w:t>).</w:t>
      </w:r>
      <w:r>
        <w:t xml:space="preserve"> </w:t>
      </w:r>
      <w:r w:rsidRPr="00DB2DD6">
        <w:t xml:space="preserve">Advocates reported that NDIS </w:t>
      </w:r>
      <w:r>
        <w:t>a</w:t>
      </w:r>
      <w:r w:rsidRPr="00DB2DD6">
        <w:t>ppeals</w:t>
      </w:r>
      <w:r>
        <w:t xml:space="preserve"> cases</w:t>
      </w:r>
      <w:r w:rsidRPr="00DB2DD6">
        <w:t xml:space="preserve"> are often very complex and time consuming and can continue over many months (or </w:t>
      </w:r>
      <w:r w:rsidRPr="00223511">
        <w:t>years).</w:t>
      </w:r>
    </w:p>
    <w:p w14:paraId="4DB01581" w14:textId="0EB85DC6" w:rsidR="002C1352" w:rsidRPr="00E34445" w:rsidRDefault="002B601A" w:rsidP="00DC55F0">
      <w:pPr>
        <w:pStyle w:val="Caption"/>
        <w:spacing w:before="360"/>
      </w:pPr>
      <w:bookmarkStart w:id="39" w:name="_Toc149667996"/>
      <w:bookmarkStart w:id="40" w:name="_Hlk144375583"/>
      <w:r>
        <w:t xml:space="preserve">Table </w:t>
      </w:r>
      <w:r w:rsidR="00FC3DB4">
        <w:fldChar w:fldCharType="begin"/>
      </w:r>
      <w:r w:rsidR="00FC3DB4">
        <w:instrText xml:space="preserve"> SEQ Table \* ARABIC </w:instrText>
      </w:r>
      <w:r w:rsidR="00FC3DB4">
        <w:fldChar w:fldCharType="separate"/>
      </w:r>
      <w:r w:rsidR="00C8748D">
        <w:rPr>
          <w:noProof/>
        </w:rPr>
        <w:t>3</w:t>
      </w:r>
      <w:r w:rsidR="00FC3DB4">
        <w:rPr>
          <w:noProof/>
        </w:rPr>
        <w:fldChar w:fldCharType="end"/>
      </w:r>
      <w:r w:rsidRPr="00E34445">
        <w:t>:</w:t>
      </w:r>
      <w:r w:rsidR="004C2AA7">
        <w:t xml:space="preserve"> </w:t>
      </w:r>
      <w:r w:rsidR="00094B76" w:rsidRPr="00094B76">
        <w:t xml:space="preserve">Unmet demand and waitlist trends </w:t>
      </w:r>
      <w:r w:rsidR="00B65C51">
        <w:t>by</w:t>
      </w:r>
      <w:r w:rsidR="00094B76" w:rsidRPr="00094B76">
        <w:t xml:space="preserve"> funding streams: September 2021 – February 2022</w:t>
      </w:r>
      <w:bookmarkEnd w:id="39"/>
    </w:p>
    <w:tbl>
      <w:tblPr>
        <w:tblStyle w:val="PlainTable2"/>
        <w:tblW w:w="9072" w:type="dxa"/>
        <w:tblLayout w:type="fixed"/>
        <w:tblLook w:val="04A0" w:firstRow="1" w:lastRow="0" w:firstColumn="1" w:lastColumn="0" w:noHBand="0" w:noVBand="1"/>
      </w:tblPr>
      <w:tblGrid>
        <w:gridCol w:w="2127"/>
        <w:gridCol w:w="1842"/>
        <w:gridCol w:w="1985"/>
        <w:gridCol w:w="1559"/>
        <w:gridCol w:w="1559"/>
      </w:tblGrid>
      <w:tr w:rsidR="00094B76" w:rsidRPr="00CD24D8" w14:paraId="520B30D0" w14:textId="77777777" w:rsidTr="006E108D">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2127" w:type="dxa"/>
            <w:noWrap/>
            <w:hideMark/>
          </w:tcPr>
          <w:p w14:paraId="16FE44D9" w14:textId="77777777" w:rsidR="00094B76" w:rsidRPr="008D1EFE" w:rsidRDefault="00094B76" w:rsidP="00ED044B">
            <w:pPr>
              <w:spacing w:before="40" w:after="40"/>
              <w:rPr>
                <w:b w:val="0"/>
                <w:bCs w:val="0"/>
                <w:szCs w:val="22"/>
              </w:rPr>
            </w:pPr>
            <w:bookmarkStart w:id="41" w:name="_Toc138929603"/>
            <w:bookmarkEnd w:id="40"/>
            <w:r>
              <w:rPr>
                <w:szCs w:val="22"/>
              </w:rPr>
              <w:t>Funding stream</w:t>
            </w:r>
          </w:p>
        </w:tc>
        <w:tc>
          <w:tcPr>
            <w:tcW w:w="1842" w:type="dxa"/>
            <w:hideMark/>
          </w:tcPr>
          <w:p w14:paraId="33A3EACF" w14:textId="77777777" w:rsidR="00094B76" w:rsidRPr="008D1EFE" w:rsidRDefault="00094B76" w:rsidP="00ED044B">
            <w:pPr>
              <w:spacing w:before="40" w:after="40"/>
              <w:jc w:val="center"/>
              <w:cnfStyle w:val="100000000000" w:firstRow="1" w:lastRow="0" w:firstColumn="0" w:lastColumn="0" w:oddVBand="0" w:evenVBand="0" w:oddHBand="0" w:evenHBand="0" w:firstRowFirstColumn="0" w:firstRowLastColumn="0" w:lastRowFirstColumn="0" w:lastRowLastColumn="0"/>
              <w:rPr>
                <w:b w:val="0"/>
                <w:bCs w:val="0"/>
                <w:szCs w:val="22"/>
              </w:rPr>
            </w:pPr>
            <w:r w:rsidRPr="008D1EFE">
              <w:rPr>
                <w:szCs w:val="22"/>
              </w:rPr>
              <w:t xml:space="preserve">Became </w:t>
            </w:r>
            <w:r>
              <w:rPr>
                <w:szCs w:val="22"/>
              </w:rPr>
              <w:t xml:space="preserve">an </w:t>
            </w:r>
            <w:r w:rsidRPr="008D1EFE">
              <w:rPr>
                <w:szCs w:val="22"/>
              </w:rPr>
              <w:t>advocacy client</w:t>
            </w:r>
          </w:p>
        </w:tc>
        <w:tc>
          <w:tcPr>
            <w:tcW w:w="1985" w:type="dxa"/>
          </w:tcPr>
          <w:p w14:paraId="3273E6F5" w14:textId="77777777" w:rsidR="00094B76" w:rsidRPr="008D1EFE" w:rsidRDefault="00094B76" w:rsidP="00ED044B">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b w:val="0"/>
                <w:bCs w:val="0"/>
                <w:szCs w:val="22"/>
              </w:rPr>
            </w:pPr>
            <w:r w:rsidRPr="008D1EFE">
              <w:rPr>
                <w:szCs w:val="22"/>
              </w:rPr>
              <w:t>Did not become an advocacy client</w:t>
            </w:r>
            <w:r>
              <w:rPr>
                <w:szCs w:val="22"/>
              </w:rPr>
              <w:t xml:space="preserve"> (eligible)</w:t>
            </w:r>
          </w:p>
        </w:tc>
        <w:tc>
          <w:tcPr>
            <w:tcW w:w="1559" w:type="dxa"/>
          </w:tcPr>
          <w:p w14:paraId="23702417" w14:textId="77777777" w:rsidR="00094B76" w:rsidRPr="008D1EFE" w:rsidRDefault="00094B76" w:rsidP="00ED044B">
            <w:pPr>
              <w:spacing w:before="40" w:after="40"/>
              <w:jc w:val="center"/>
              <w:cnfStyle w:val="100000000000" w:firstRow="1" w:lastRow="0" w:firstColumn="0" w:lastColumn="0" w:oddVBand="0" w:evenVBand="0" w:oddHBand="0" w:evenHBand="0" w:firstRowFirstColumn="0" w:firstRowLastColumn="0" w:lastRowFirstColumn="0" w:lastRowLastColumn="0"/>
              <w:rPr>
                <w:szCs w:val="22"/>
              </w:rPr>
            </w:pPr>
            <w:r>
              <w:rPr>
                <w:szCs w:val="22"/>
              </w:rPr>
              <w:t>On waitlist at end of month</w:t>
            </w:r>
          </w:p>
        </w:tc>
        <w:tc>
          <w:tcPr>
            <w:tcW w:w="1559" w:type="dxa"/>
            <w:noWrap/>
            <w:hideMark/>
          </w:tcPr>
          <w:p w14:paraId="20254D17" w14:textId="77777777" w:rsidR="00094B76" w:rsidRPr="008D1EFE" w:rsidRDefault="00094B76" w:rsidP="00ED044B">
            <w:pPr>
              <w:spacing w:before="40" w:after="40"/>
              <w:jc w:val="center"/>
              <w:cnfStyle w:val="100000000000" w:firstRow="1" w:lastRow="0" w:firstColumn="0" w:lastColumn="0" w:oddVBand="0" w:evenVBand="0" w:oddHBand="0" w:evenHBand="0" w:firstRowFirstColumn="0" w:firstRowLastColumn="0" w:lastRowFirstColumn="0" w:lastRowLastColumn="0"/>
              <w:rPr>
                <w:b w:val="0"/>
                <w:bCs w:val="0"/>
                <w:szCs w:val="22"/>
              </w:rPr>
            </w:pPr>
            <w:r w:rsidRPr="008D1EFE">
              <w:rPr>
                <w:szCs w:val="22"/>
              </w:rPr>
              <w:t>TOTAL</w:t>
            </w:r>
            <w:r>
              <w:rPr>
                <w:szCs w:val="22"/>
              </w:rPr>
              <w:t xml:space="preserve"> eligible</w:t>
            </w:r>
            <w:r>
              <w:rPr>
                <w:b w:val="0"/>
                <w:bCs w:val="0"/>
                <w:szCs w:val="22"/>
              </w:rPr>
              <w:t xml:space="preserve"> </w:t>
            </w:r>
            <w:r w:rsidRPr="0016548E">
              <w:rPr>
                <w:szCs w:val="22"/>
              </w:rPr>
              <w:t>requests</w:t>
            </w:r>
          </w:p>
        </w:tc>
      </w:tr>
      <w:tr w:rsidR="00094B76" w:rsidRPr="00CD24D8" w14:paraId="5F85B869" w14:textId="77777777" w:rsidTr="006E10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hideMark/>
          </w:tcPr>
          <w:p w14:paraId="125C8404" w14:textId="77777777" w:rsidR="00094B76" w:rsidRPr="008D1EFE" w:rsidRDefault="00094B76" w:rsidP="00ED044B">
            <w:pPr>
              <w:spacing w:before="40" w:after="40"/>
              <w:rPr>
                <w:szCs w:val="22"/>
              </w:rPr>
            </w:pPr>
            <w:r>
              <w:rPr>
                <w:szCs w:val="22"/>
              </w:rPr>
              <w:t>NDAP</w:t>
            </w:r>
          </w:p>
        </w:tc>
        <w:tc>
          <w:tcPr>
            <w:tcW w:w="1842" w:type="dxa"/>
            <w:noWrap/>
            <w:hideMark/>
          </w:tcPr>
          <w:p w14:paraId="024148E0" w14:textId="77777777" w:rsidR="00094B76" w:rsidRPr="008D1EFE" w:rsidRDefault="00094B76"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sidRPr="00996473">
              <w:rPr>
                <w:rFonts w:cs="Helvetica"/>
              </w:rPr>
              <w:t>3</w:t>
            </w:r>
            <w:r>
              <w:rPr>
                <w:rFonts w:cs="Helvetica"/>
              </w:rPr>
              <w:t>,</w:t>
            </w:r>
            <w:r w:rsidRPr="00996473">
              <w:rPr>
                <w:rFonts w:cs="Helvetica"/>
              </w:rPr>
              <w:t>165 (49%)</w:t>
            </w:r>
          </w:p>
        </w:tc>
        <w:tc>
          <w:tcPr>
            <w:tcW w:w="1985" w:type="dxa"/>
          </w:tcPr>
          <w:p w14:paraId="1D956E6D" w14:textId="77777777" w:rsidR="00094B76" w:rsidRPr="008D1EFE" w:rsidRDefault="00094B76"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1,094 (17%)</w:t>
            </w:r>
          </w:p>
        </w:tc>
        <w:tc>
          <w:tcPr>
            <w:tcW w:w="1559" w:type="dxa"/>
          </w:tcPr>
          <w:p w14:paraId="08BA1628" w14:textId="77777777" w:rsidR="00094B76" w:rsidRPr="008D1EFE" w:rsidRDefault="00094B76"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2,164 (34%)</w:t>
            </w:r>
          </w:p>
        </w:tc>
        <w:tc>
          <w:tcPr>
            <w:tcW w:w="1559" w:type="dxa"/>
            <w:noWrap/>
            <w:hideMark/>
          </w:tcPr>
          <w:p w14:paraId="65F0BCBE" w14:textId="77777777" w:rsidR="00094B76" w:rsidRPr="008D1EFE" w:rsidRDefault="00094B76"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6,423</w:t>
            </w:r>
          </w:p>
        </w:tc>
      </w:tr>
      <w:tr w:rsidR="00094B76" w:rsidRPr="00CD24D8" w14:paraId="28681080" w14:textId="77777777" w:rsidTr="006E108D">
        <w:trPr>
          <w:trHeight w:val="288"/>
        </w:trPr>
        <w:tc>
          <w:tcPr>
            <w:cnfStyle w:val="001000000000" w:firstRow="0" w:lastRow="0" w:firstColumn="1" w:lastColumn="0" w:oddVBand="0" w:evenVBand="0" w:oddHBand="0" w:evenHBand="0" w:firstRowFirstColumn="0" w:firstRowLastColumn="0" w:lastRowFirstColumn="0" w:lastRowLastColumn="0"/>
            <w:tcW w:w="2127" w:type="dxa"/>
            <w:noWrap/>
            <w:hideMark/>
          </w:tcPr>
          <w:p w14:paraId="280089DC" w14:textId="767EABAD" w:rsidR="00094B76" w:rsidRPr="001E71C0" w:rsidRDefault="00094B76" w:rsidP="00ED044B">
            <w:pPr>
              <w:spacing w:before="40" w:after="40"/>
              <w:rPr>
                <w:b w:val="0"/>
                <w:bCs w:val="0"/>
                <w:szCs w:val="22"/>
              </w:rPr>
            </w:pPr>
            <w:r>
              <w:rPr>
                <w:szCs w:val="22"/>
              </w:rPr>
              <w:t>State/</w:t>
            </w:r>
            <w:r w:rsidR="007C5BFA">
              <w:rPr>
                <w:szCs w:val="22"/>
              </w:rPr>
              <w:t xml:space="preserve"> </w:t>
            </w:r>
            <w:r w:rsidR="001E71C0" w:rsidRPr="001E71C0">
              <w:rPr>
                <w:szCs w:val="22"/>
              </w:rPr>
              <w:t>T</w:t>
            </w:r>
            <w:r w:rsidRPr="001E71C0">
              <w:rPr>
                <w:szCs w:val="22"/>
              </w:rPr>
              <w:t>erritor</w:t>
            </w:r>
            <w:r>
              <w:rPr>
                <w:szCs w:val="22"/>
              </w:rPr>
              <w:t>y</w:t>
            </w:r>
          </w:p>
        </w:tc>
        <w:tc>
          <w:tcPr>
            <w:tcW w:w="1842" w:type="dxa"/>
            <w:noWrap/>
            <w:hideMark/>
          </w:tcPr>
          <w:p w14:paraId="37B57E1C" w14:textId="77777777" w:rsidR="00094B76" w:rsidRPr="008D1EFE" w:rsidRDefault="00094B76"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sidRPr="00996473">
              <w:rPr>
                <w:rFonts w:cs="Helvetica"/>
              </w:rPr>
              <w:t>2</w:t>
            </w:r>
            <w:r>
              <w:rPr>
                <w:rFonts w:cs="Helvetica"/>
              </w:rPr>
              <w:t>,</w:t>
            </w:r>
            <w:r w:rsidRPr="00996473">
              <w:rPr>
                <w:rFonts w:cs="Helvetica"/>
              </w:rPr>
              <w:t>636 (47%)</w:t>
            </w:r>
          </w:p>
        </w:tc>
        <w:tc>
          <w:tcPr>
            <w:tcW w:w="1985" w:type="dxa"/>
          </w:tcPr>
          <w:p w14:paraId="48B3D30F" w14:textId="77777777" w:rsidR="00094B76" w:rsidRPr="008D1EFE" w:rsidRDefault="00094B76"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1,312 (23%)</w:t>
            </w:r>
          </w:p>
        </w:tc>
        <w:tc>
          <w:tcPr>
            <w:tcW w:w="1559" w:type="dxa"/>
          </w:tcPr>
          <w:p w14:paraId="35B4CCF4" w14:textId="77777777" w:rsidR="00094B76" w:rsidRPr="008D1EFE" w:rsidRDefault="00094B76"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1,656 (30%)</w:t>
            </w:r>
          </w:p>
        </w:tc>
        <w:tc>
          <w:tcPr>
            <w:tcW w:w="1559" w:type="dxa"/>
            <w:noWrap/>
            <w:hideMark/>
          </w:tcPr>
          <w:p w14:paraId="742772B2" w14:textId="77777777" w:rsidR="00094B76" w:rsidRPr="008D1EFE" w:rsidRDefault="00094B76"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5,604</w:t>
            </w:r>
          </w:p>
        </w:tc>
      </w:tr>
      <w:tr w:rsidR="00094B76" w:rsidRPr="00CD24D8" w14:paraId="2CD05CB0" w14:textId="77777777" w:rsidTr="006E10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hideMark/>
          </w:tcPr>
          <w:p w14:paraId="3B4DBF77" w14:textId="77777777" w:rsidR="00094B76" w:rsidRPr="008D1EFE" w:rsidRDefault="00094B76" w:rsidP="00ED044B">
            <w:pPr>
              <w:spacing w:before="40" w:after="40"/>
              <w:rPr>
                <w:szCs w:val="22"/>
              </w:rPr>
            </w:pPr>
            <w:r>
              <w:rPr>
                <w:szCs w:val="22"/>
              </w:rPr>
              <w:t>NDIS Appeals</w:t>
            </w:r>
          </w:p>
        </w:tc>
        <w:tc>
          <w:tcPr>
            <w:tcW w:w="1842" w:type="dxa"/>
            <w:noWrap/>
            <w:hideMark/>
          </w:tcPr>
          <w:p w14:paraId="30B6FE37" w14:textId="77777777" w:rsidR="00094B76" w:rsidRPr="008D1EFE" w:rsidRDefault="00094B76"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sidRPr="00996473">
              <w:rPr>
                <w:rFonts w:cs="Helvetica"/>
              </w:rPr>
              <w:t>1</w:t>
            </w:r>
            <w:r>
              <w:rPr>
                <w:rFonts w:cs="Helvetica"/>
              </w:rPr>
              <w:t>,</w:t>
            </w:r>
            <w:r w:rsidRPr="00996473">
              <w:rPr>
                <w:rFonts w:cs="Helvetica"/>
              </w:rPr>
              <w:t>195 (42%)</w:t>
            </w:r>
          </w:p>
        </w:tc>
        <w:tc>
          <w:tcPr>
            <w:tcW w:w="1985" w:type="dxa"/>
          </w:tcPr>
          <w:p w14:paraId="7743507B" w14:textId="77777777" w:rsidR="00094B76" w:rsidRPr="008D1EFE" w:rsidRDefault="00094B76"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830 (29%)</w:t>
            </w:r>
          </w:p>
        </w:tc>
        <w:tc>
          <w:tcPr>
            <w:tcW w:w="1559" w:type="dxa"/>
          </w:tcPr>
          <w:p w14:paraId="6C7369FB" w14:textId="77777777" w:rsidR="00094B76" w:rsidRPr="008D1EFE" w:rsidRDefault="00094B76"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811 (29%)</w:t>
            </w:r>
          </w:p>
        </w:tc>
        <w:tc>
          <w:tcPr>
            <w:tcW w:w="1559" w:type="dxa"/>
            <w:noWrap/>
            <w:hideMark/>
          </w:tcPr>
          <w:p w14:paraId="22B5A039" w14:textId="77777777" w:rsidR="00094B76" w:rsidRPr="008D1EFE" w:rsidRDefault="00094B76"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2,836</w:t>
            </w:r>
          </w:p>
        </w:tc>
      </w:tr>
      <w:tr w:rsidR="00094B76" w:rsidRPr="00CD24D8" w14:paraId="1D7E67C0" w14:textId="77777777" w:rsidTr="006E108D">
        <w:trPr>
          <w:trHeight w:val="288"/>
        </w:trPr>
        <w:tc>
          <w:tcPr>
            <w:cnfStyle w:val="001000000000" w:firstRow="0" w:lastRow="0" w:firstColumn="1" w:lastColumn="0" w:oddVBand="0" w:evenVBand="0" w:oddHBand="0" w:evenHBand="0" w:firstRowFirstColumn="0" w:firstRowLastColumn="0" w:lastRowFirstColumn="0" w:lastRowLastColumn="0"/>
            <w:tcW w:w="2127" w:type="dxa"/>
            <w:noWrap/>
            <w:hideMark/>
          </w:tcPr>
          <w:p w14:paraId="50808555" w14:textId="77777777" w:rsidR="00094B76" w:rsidRPr="008D1EFE" w:rsidRDefault="00094B76" w:rsidP="00ED044B">
            <w:pPr>
              <w:spacing w:before="40" w:after="40"/>
              <w:rPr>
                <w:szCs w:val="22"/>
              </w:rPr>
            </w:pPr>
            <w:r>
              <w:rPr>
                <w:szCs w:val="22"/>
              </w:rPr>
              <w:t>DRC</w:t>
            </w:r>
          </w:p>
        </w:tc>
        <w:tc>
          <w:tcPr>
            <w:tcW w:w="1842" w:type="dxa"/>
            <w:noWrap/>
            <w:hideMark/>
          </w:tcPr>
          <w:p w14:paraId="6D87ECF6" w14:textId="77777777" w:rsidR="00094B76" w:rsidRPr="008D1EFE" w:rsidRDefault="00094B76"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sidRPr="00996473">
              <w:rPr>
                <w:rFonts w:cs="Helvetica"/>
              </w:rPr>
              <w:t>485 (66%)</w:t>
            </w:r>
          </w:p>
        </w:tc>
        <w:tc>
          <w:tcPr>
            <w:tcW w:w="1985" w:type="dxa"/>
          </w:tcPr>
          <w:p w14:paraId="129A8677" w14:textId="77777777" w:rsidR="00094B76" w:rsidRPr="008D1EFE" w:rsidRDefault="00094B76"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44 (6%)</w:t>
            </w:r>
          </w:p>
        </w:tc>
        <w:tc>
          <w:tcPr>
            <w:tcW w:w="1559" w:type="dxa"/>
          </w:tcPr>
          <w:p w14:paraId="4D2548B0" w14:textId="77777777" w:rsidR="00094B76" w:rsidRPr="008D1EFE" w:rsidRDefault="00094B76"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205 (28%)</w:t>
            </w:r>
          </w:p>
        </w:tc>
        <w:tc>
          <w:tcPr>
            <w:tcW w:w="1559" w:type="dxa"/>
            <w:noWrap/>
            <w:hideMark/>
          </w:tcPr>
          <w:p w14:paraId="2A627064" w14:textId="77777777" w:rsidR="00094B76" w:rsidRPr="008D1EFE" w:rsidRDefault="00094B76"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734</w:t>
            </w:r>
          </w:p>
        </w:tc>
      </w:tr>
      <w:tr w:rsidR="00094B76" w:rsidRPr="00CD24D8" w14:paraId="7C2C27AA" w14:textId="77777777" w:rsidTr="006E10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hideMark/>
          </w:tcPr>
          <w:p w14:paraId="155EE5CD" w14:textId="77777777" w:rsidR="00094B76" w:rsidRPr="008D1EFE" w:rsidRDefault="00094B76" w:rsidP="00ED044B">
            <w:pPr>
              <w:spacing w:before="40" w:after="40"/>
              <w:rPr>
                <w:szCs w:val="22"/>
              </w:rPr>
            </w:pPr>
            <w:r>
              <w:rPr>
                <w:szCs w:val="22"/>
              </w:rPr>
              <w:t>Decision Support</w:t>
            </w:r>
          </w:p>
        </w:tc>
        <w:tc>
          <w:tcPr>
            <w:tcW w:w="1842" w:type="dxa"/>
            <w:noWrap/>
            <w:hideMark/>
          </w:tcPr>
          <w:p w14:paraId="74A2B406" w14:textId="77777777" w:rsidR="00094B76" w:rsidRPr="008D1EFE" w:rsidRDefault="00094B76"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sidRPr="00996473">
              <w:rPr>
                <w:rFonts w:cs="Helvetica"/>
              </w:rPr>
              <w:t>152 (63%)</w:t>
            </w:r>
          </w:p>
        </w:tc>
        <w:tc>
          <w:tcPr>
            <w:tcW w:w="1985" w:type="dxa"/>
          </w:tcPr>
          <w:p w14:paraId="20E1401E" w14:textId="77777777" w:rsidR="00094B76" w:rsidRPr="008D1EFE" w:rsidRDefault="00094B76"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15 (6%)</w:t>
            </w:r>
          </w:p>
        </w:tc>
        <w:tc>
          <w:tcPr>
            <w:tcW w:w="1559" w:type="dxa"/>
          </w:tcPr>
          <w:p w14:paraId="7C659523" w14:textId="77777777" w:rsidR="00094B76" w:rsidRPr="008D1EFE" w:rsidRDefault="00094B76"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76 (31%)</w:t>
            </w:r>
          </w:p>
        </w:tc>
        <w:tc>
          <w:tcPr>
            <w:tcW w:w="1559" w:type="dxa"/>
            <w:noWrap/>
            <w:hideMark/>
          </w:tcPr>
          <w:p w14:paraId="6017628A" w14:textId="77777777" w:rsidR="00094B76" w:rsidRPr="008D1EFE" w:rsidRDefault="00094B76" w:rsidP="00ED044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243</w:t>
            </w:r>
          </w:p>
        </w:tc>
      </w:tr>
      <w:tr w:rsidR="00094B76" w:rsidRPr="00CD24D8" w14:paraId="5184640A" w14:textId="77777777" w:rsidTr="006E108D">
        <w:trPr>
          <w:trHeight w:val="288"/>
        </w:trPr>
        <w:tc>
          <w:tcPr>
            <w:cnfStyle w:val="001000000000" w:firstRow="0" w:lastRow="0" w:firstColumn="1" w:lastColumn="0" w:oddVBand="0" w:evenVBand="0" w:oddHBand="0" w:evenHBand="0" w:firstRowFirstColumn="0" w:firstRowLastColumn="0" w:lastRowFirstColumn="0" w:lastRowLastColumn="0"/>
            <w:tcW w:w="2127" w:type="dxa"/>
            <w:noWrap/>
            <w:hideMark/>
          </w:tcPr>
          <w:p w14:paraId="44FA954D" w14:textId="77777777" w:rsidR="00094B76" w:rsidRPr="008D1EFE" w:rsidRDefault="00094B76" w:rsidP="00ED044B">
            <w:pPr>
              <w:spacing w:before="40" w:after="40"/>
              <w:rPr>
                <w:szCs w:val="22"/>
              </w:rPr>
            </w:pPr>
            <w:r>
              <w:rPr>
                <w:szCs w:val="22"/>
              </w:rPr>
              <w:t>Other</w:t>
            </w:r>
          </w:p>
        </w:tc>
        <w:tc>
          <w:tcPr>
            <w:tcW w:w="1842" w:type="dxa"/>
            <w:noWrap/>
            <w:hideMark/>
          </w:tcPr>
          <w:p w14:paraId="5C3E7E37" w14:textId="77777777" w:rsidR="00094B76" w:rsidRPr="008D1EFE" w:rsidRDefault="00094B76"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sidRPr="00996473">
              <w:rPr>
                <w:rFonts w:cs="Helvetica"/>
              </w:rPr>
              <w:t>1</w:t>
            </w:r>
            <w:r>
              <w:rPr>
                <w:rFonts w:cs="Helvetica"/>
              </w:rPr>
              <w:t>,</w:t>
            </w:r>
            <w:r w:rsidRPr="00996473">
              <w:rPr>
                <w:rFonts w:cs="Helvetica"/>
              </w:rPr>
              <w:t>554 (92%)</w:t>
            </w:r>
          </w:p>
        </w:tc>
        <w:tc>
          <w:tcPr>
            <w:tcW w:w="1985" w:type="dxa"/>
          </w:tcPr>
          <w:p w14:paraId="647CFC9D" w14:textId="77777777" w:rsidR="00094B76" w:rsidRPr="008D1EFE" w:rsidRDefault="00094B76"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103 (6%)</w:t>
            </w:r>
          </w:p>
        </w:tc>
        <w:tc>
          <w:tcPr>
            <w:tcW w:w="1559" w:type="dxa"/>
          </w:tcPr>
          <w:p w14:paraId="29F3FDCF" w14:textId="77777777" w:rsidR="00094B76" w:rsidRPr="008D1EFE" w:rsidRDefault="00094B76"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41 (2%)</w:t>
            </w:r>
          </w:p>
        </w:tc>
        <w:tc>
          <w:tcPr>
            <w:tcW w:w="1559" w:type="dxa"/>
            <w:noWrap/>
            <w:hideMark/>
          </w:tcPr>
          <w:p w14:paraId="105CC1D3" w14:textId="77777777" w:rsidR="00094B76" w:rsidRPr="008D1EFE" w:rsidRDefault="00094B76" w:rsidP="00ED044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1,698</w:t>
            </w:r>
          </w:p>
        </w:tc>
      </w:tr>
      <w:tr w:rsidR="00094B76" w:rsidRPr="009B3F71" w14:paraId="1C329B9C" w14:textId="77777777" w:rsidTr="006E10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tcPr>
          <w:p w14:paraId="5EFEA9CC" w14:textId="77777777" w:rsidR="00094B76" w:rsidRPr="009B3F71" w:rsidRDefault="00094B76" w:rsidP="00ED044B">
            <w:pPr>
              <w:spacing w:before="40" w:after="40"/>
              <w:rPr>
                <w:b w:val="0"/>
                <w:bCs w:val="0"/>
                <w:szCs w:val="22"/>
              </w:rPr>
            </w:pPr>
            <w:r w:rsidRPr="009B3F71">
              <w:rPr>
                <w:szCs w:val="22"/>
              </w:rPr>
              <w:t>TOTAL</w:t>
            </w:r>
          </w:p>
        </w:tc>
        <w:tc>
          <w:tcPr>
            <w:tcW w:w="1842" w:type="dxa"/>
            <w:noWrap/>
          </w:tcPr>
          <w:p w14:paraId="6AC4F2F7" w14:textId="77777777" w:rsidR="00094B76" w:rsidRPr="009B3F71" w:rsidRDefault="00094B76" w:rsidP="00ED044B">
            <w:pPr>
              <w:spacing w:before="40" w:after="40"/>
              <w:jc w:val="center"/>
              <w:cnfStyle w:val="000000100000" w:firstRow="0" w:lastRow="0" w:firstColumn="0" w:lastColumn="0" w:oddVBand="0" w:evenVBand="0" w:oddHBand="1" w:evenHBand="0" w:firstRowFirstColumn="0" w:firstRowLastColumn="0" w:lastRowFirstColumn="0" w:lastRowLastColumn="0"/>
              <w:rPr>
                <w:b/>
                <w:bCs/>
                <w:szCs w:val="22"/>
              </w:rPr>
            </w:pPr>
          </w:p>
        </w:tc>
        <w:tc>
          <w:tcPr>
            <w:tcW w:w="1985" w:type="dxa"/>
          </w:tcPr>
          <w:p w14:paraId="20A9D13D" w14:textId="77777777" w:rsidR="00094B76" w:rsidRPr="009B3F71" w:rsidRDefault="00094B76" w:rsidP="00ED044B">
            <w:pPr>
              <w:spacing w:before="40" w:after="40"/>
              <w:jc w:val="center"/>
              <w:cnfStyle w:val="000000100000" w:firstRow="0" w:lastRow="0" w:firstColumn="0" w:lastColumn="0" w:oddVBand="0" w:evenVBand="0" w:oddHBand="1" w:evenHBand="0" w:firstRowFirstColumn="0" w:firstRowLastColumn="0" w:lastRowFirstColumn="0" w:lastRowLastColumn="0"/>
              <w:rPr>
                <w:b/>
                <w:bCs/>
                <w:szCs w:val="22"/>
              </w:rPr>
            </w:pPr>
          </w:p>
        </w:tc>
        <w:tc>
          <w:tcPr>
            <w:tcW w:w="1559" w:type="dxa"/>
          </w:tcPr>
          <w:p w14:paraId="2DCCCD08" w14:textId="77777777" w:rsidR="00094B76" w:rsidRPr="009B3F71" w:rsidRDefault="00094B76" w:rsidP="00ED044B">
            <w:pPr>
              <w:spacing w:before="40" w:after="40"/>
              <w:jc w:val="center"/>
              <w:cnfStyle w:val="000000100000" w:firstRow="0" w:lastRow="0" w:firstColumn="0" w:lastColumn="0" w:oddVBand="0" w:evenVBand="0" w:oddHBand="1" w:evenHBand="0" w:firstRowFirstColumn="0" w:firstRowLastColumn="0" w:lastRowFirstColumn="0" w:lastRowLastColumn="0"/>
              <w:rPr>
                <w:b/>
                <w:bCs/>
                <w:szCs w:val="22"/>
              </w:rPr>
            </w:pPr>
          </w:p>
        </w:tc>
        <w:tc>
          <w:tcPr>
            <w:tcW w:w="1559" w:type="dxa"/>
            <w:noWrap/>
          </w:tcPr>
          <w:p w14:paraId="24E26467" w14:textId="77777777" w:rsidR="00094B76" w:rsidRPr="009B3F71" w:rsidRDefault="00094B76" w:rsidP="00ED044B">
            <w:pPr>
              <w:spacing w:before="40" w:after="40"/>
              <w:jc w:val="center"/>
              <w:cnfStyle w:val="000000100000" w:firstRow="0" w:lastRow="0" w:firstColumn="0" w:lastColumn="0" w:oddVBand="0" w:evenVBand="0" w:oddHBand="1" w:evenHBand="0" w:firstRowFirstColumn="0" w:firstRowLastColumn="0" w:lastRowFirstColumn="0" w:lastRowLastColumn="0"/>
              <w:rPr>
                <w:b/>
                <w:bCs/>
                <w:szCs w:val="22"/>
              </w:rPr>
            </w:pPr>
            <w:r>
              <w:rPr>
                <w:b/>
                <w:bCs/>
                <w:szCs w:val="22"/>
              </w:rPr>
              <w:t>17,538</w:t>
            </w:r>
          </w:p>
        </w:tc>
      </w:tr>
    </w:tbl>
    <w:p w14:paraId="0C2A515E" w14:textId="0863B09F" w:rsidR="00A52D2B" w:rsidRDefault="002B601A" w:rsidP="00DC55F0">
      <w:pPr>
        <w:pStyle w:val="Caption"/>
        <w:spacing w:before="360"/>
      </w:pPr>
      <w:bookmarkStart w:id="42" w:name="_Toc138929698"/>
      <w:bookmarkStart w:id="43" w:name="_Toc144384913"/>
      <w:bookmarkStart w:id="44" w:name="_Toc144384942"/>
      <w:bookmarkStart w:id="45" w:name="_Toc149667990"/>
      <w:bookmarkEnd w:id="41"/>
      <w:r>
        <w:t xml:space="preserve">Figure </w:t>
      </w:r>
      <w:r w:rsidR="00FC3DB4">
        <w:fldChar w:fldCharType="begin"/>
      </w:r>
      <w:r w:rsidR="00FC3DB4">
        <w:instrText xml:space="preserve"> SEQ Figure \* ARABIC </w:instrText>
      </w:r>
      <w:r w:rsidR="00FC3DB4">
        <w:fldChar w:fldCharType="separate"/>
      </w:r>
      <w:r w:rsidR="00C8748D">
        <w:rPr>
          <w:noProof/>
        </w:rPr>
        <w:t>7</w:t>
      </w:r>
      <w:r w:rsidR="00FC3DB4">
        <w:rPr>
          <w:noProof/>
        </w:rPr>
        <w:fldChar w:fldCharType="end"/>
      </w:r>
      <w:r>
        <w:t xml:space="preserve">: </w:t>
      </w:r>
      <w:bookmarkEnd w:id="42"/>
      <w:r w:rsidR="009A0135">
        <w:t>Unmet demand and waitlist trends – NDIS appeals: September 2021 – February 2022</w:t>
      </w:r>
      <w:bookmarkEnd w:id="43"/>
      <w:bookmarkEnd w:id="44"/>
      <w:bookmarkEnd w:id="45"/>
    </w:p>
    <w:p w14:paraId="07ED0E50" w14:textId="435425B2" w:rsidR="00F90AFB" w:rsidRDefault="00265010" w:rsidP="00F90AFB">
      <w:r>
        <w:rPr>
          <w:noProof/>
          <w:lang w:eastAsia="en-AU"/>
        </w:rPr>
        <w:drawing>
          <wp:inline distT="0" distB="0" distL="0" distR="0" wp14:anchorId="3CFC51A0" wp14:editId="3444022B">
            <wp:extent cx="5740400" cy="2501900"/>
            <wp:effectExtent l="0" t="0" r="12700" b="12700"/>
            <wp:docPr id="943044071" name="Chart 1">
              <a:extLst xmlns:a="http://schemas.openxmlformats.org/drawingml/2006/main">
                <a:ext uri="{FF2B5EF4-FFF2-40B4-BE49-F238E27FC236}">
                  <a16:creationId xmlns:a16="http://schemas.microsoft.com/office/drawing/2014/main" id="{BAA9A46C-B286-E315-5FE9-A503836250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Start w:id="46" w:name="_Toc144384914"/>
      <w:bookmarkStart w:id="47" w:name="_Toc144384943"/>
    </w:p>
    <w:p w14:paraId="499C7FD4" w14:textId="74552F35" w:rsidR="00E66A88" w:rsidRDefault="0046392D" w:rsidP="004037E0">
      <w:pPr>
        <w:pStyle w:val="Caption"/>
      </w:pPr>
      <w:bookmarkStart w:id="48" w:name="_Toc149667991"/>
      <w:r>
        <w:lastRenderedPageBreak/>
        <w:t xml:space="preserve">Figure </w:t>
      </w:r>
      <w:r w:rsidR="00FC3DB4">
        <w:fldChar w:fldCharType="begin"/>
      </w:r>
      <w:r w:rsidR="00FC3DB4">
        <w:instrText xml:space="preserve"> SEQ Figure \* ARABIC </w:instrText>
      </w:r>
      <w:r w:rsidR="00FC3DB4">
        <w:fldChar w:fldCharType="separate"/>
      </w:r>
      <w:r w:rsidR="00C8748D">
        <w:rPr>
          <w:noProof/>
        </w:rPr>
        <w:t>8</w:t>
      </w:r>
      <w:r w:rsidR="00FC3DB4">
        <w:rPr>
          <w:noProof/>
        </w:rPr>
        <w:fldChar w:fldCharType="end"/>
      </w:r>
      <w:r w:rsidR="00E66A88">
        <w:t>: Unmet demand and waitlist trends</w:t>
      </w:r>
      <w:r w:rsidR="004D114E">
        <w:t xml:space="preserve"> -</w:t>
      </w:r>
      <w:r w:rsidR="00E66A88">
        <w:t xml:space="preserve"> </w:t>
      </w:r>
      <w:r>
        <w:t>NDIS appeals</w:t>
      </w:r>
      <w:r w:rsidR="00E66A88">
        <w:t>: September 2021 – February 2022</w:t>
      </w:r>
      <w:bookmarkEnd w:id="46"/>
      <w:bookmarkEnd w:id="47"/>
      <w:r w:rsidR="00D26038" w:rsidRPr="004037E0">
        <w:rPr>
          <w:rStyle w:val="FootnoteReference"/>
          <w:rFonts w:eastAsiaTheme="minorHAnsi" w:cstheme="minorBidi"/>
          <w:i w:val="0"/>
          <w:color w:val="auto"/>
          <w:sz w:val="18"/>
          <w:szCs w:val="20"/>
        </w:rPr>
        <w:footnoteReference w:id="16"/>
      </w:r>
      <w:bookmarkEnd w:id="48"/>
    </w:p>
    <w:p w14:paraId="239E70D9" w14:textId="5E242370" w:rsidR="003154D3" w:rsidRPr="003A0736" w:rsidRDefault="001F0879" w:rsidP="006E108D">
      <w:r>
        <w:rPr>
          <w:noProof/>
        </w:rPr>
        <w:drawing>
          <wp:inline distT="0" distB="0" distL="0" distR="0" wp14:anchorId="2B705DA6" wp14:editId="6468029A">
            <wp:extent cx="5666400" cy="2642400"/>
            <wp:effectExtent l="0" t="0" r="10795" b="5715"/>
            <wp:docPr id="1554755980" name="Chart 1">
              <a:extLst xmlns:a="http://schemas.openxmlformats.org/drawingml/2006/main">
                <a:ext uri="{FF2B5EF4-FFF2-40B4-BE49-F238E27FC236}">
                  <a16:creationId xmlns:a16="http://schemas.microsoft.com/office/drawing/2014/main" id="{693E529C-96ED-2E9E-6A46-3B0FD102B0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365F2E1" w14:textId="3CB7B37A" w:rsidR="00B757BE" w:rsidRPr="00223511" w:rsidRDefault="003E5E1A" w:rsidP="00DC55F0">
      <w:pPr>
        <w:pStyle w:val="Heading4"/>
        <w:spacing w:before="360"/>
      </w:pPr>
      <w:r>
        <w:t>Books closed</w:t>
      </w:r>
    </w:p>
    <w:p w14:paraId="0923737D" w14:textId="0A9CBAAC" w:rsidR="00B757BE" w:rsidRDefault="00915C13" w:rsidP="00B757BE">
      <w:pPr>
        <w:rPr>
          <w:rFonts w:eastAsia="Times New Roman" w:cs="Helvetica"/>
          <w:szCs w:val="22"/>
          <w:lang w:eastAsia="en-AU"/>
        </w:rPr>
      </w:pPr>
      <w:r>
        <w:rPr>
          <w:rFonts w:eastAsia="Times New Roman" w:cs="Helvetica"/>
          <w:szCs w:val="22"/>
          <w:lang w:eastAsia="en-AU"/>
        </w:rPr>
        <w:t xml:space="preserve">One of the ways advocacy organisations manage demand is to close their books. This means no additional issues were accepted for advocacy during the </w:t>
      </w:r>
      <w:r w:rsidR="003E5E1A">
        <w:rPr>
          <w:rFonts w:eastAsia="Times New Roman" w:cs="Helvetica"/>
          <w:szCs w:val="22"/>
          <w:lang w:eastAsia="en-AU"/>
        </w:rPr>
        <w:t>period</w:t>
      </w:r>
      <w:r>
        <w:rPr>
          <w:rFonts w:eastAsia="Times New Roman" w:cs="Helvetica"/>
          <w:szCs w:val="22"/>
          <w:lang w:eastAsia="en-AU"/>
        </w:rPr>
        <w:t xml:space="preserve"> of closure.</w:t>
      </w:r>
      <w:r w:rsidR="00031EC3">
        <w:rPr>
          <w:rStyle w:val="FootnoteReference"/>
          <w:rFonts w:eastAsia="Times New Roman" w:cs="Helvetica"/>
          <w:szCs w:val="22"/>
          <w:lang w:eastAsia="en-AU"/>
        </w:rPr>
        <w:footnoteReference w:id="17"/>
      </w:r>
    </w:p>
    <w:p w14:paraId="19637D16" w14:textId="5AEF2446" w:rsidR="003E5E1A" w:rsidRPr="005B5FB5" w:rsidRDefault="002B601A" w:rsidP="00DC55F0">
      <w:pPr>
        <w:pStyle w:val="Caption"/>
        <w:spacing w:before="360"/>
      </w:pPr>
      <w:bookmarkStart w:id="49" w:name="_Toc149667997"/>
      <w:r>
        <w:t xml:space="preserve">Table </w:t>
      </w:r>
      <w:r w:rsidR="00FC3DB4">
        <w:fldChar w:fldCharType="begin"/>
      </w:r>
      <w:r w:rsidR="00FC3DB4">
        <w:instrText xml:space="preserve"> SEQ Table \* ARABIC </w:instrText>
      </w:r>
      <w:r w:rsidR="00FC3DB4">
        <w:fldChar w:fldCharType="separate"/>
      </w:r>
      <w:r w:rsidR="00C8748D">
        <w:rPr>
          <w:noProof/>
        </w:rPr>
        <w:t>4</w:t>
      </w:r>
      <w:r w:rsidR="00FC3DB4">
        <w:rPr>
          <w:noProof/>
        </w:rPr>
        <w:fldChar w:fldCharType="end"/>
      </w:r>
      <w:r>
        <w:t xml:space="preserve">: </w:t>
      </w:r>
      <w:r w:rsidR="002902A5">
        <w:t>Total days books closed and organisations that closed their books by month</w:t>
      </w:r>
      <w:r w:rsidR="003E5E1A" w:rsidRPr="00094B76">
        <w:t>: September 2021 – February 2022</w:t>
      </w:r>
      <w:bookmarkEnd w:id="49"/>
    </w:p>
    <w:tbl>
      <w:tblPr>
        <w:tblStyle w:val="PlainTable2"/>
        <w:tblW w:w="9072" w:type="dxa"/>
        <w:tblLayout w:type="fixed"/>
        <w:tblLook w:val="04A0" w:firstRow="1" w:lastRow="0" w:firstColumn="1" w:lastColumn="0" w:noHBand="0" w:noVBand="1"/>
      </w:tblPr>
      <w:tblGrid>
        <w:gridCol w:w="2694"/>
        <w:gridCol w:w="2976"/>
        <w:gridCol w:w="3402"/>
      </w:tblGrid>
      <w:tr w:rsidR="002902A5" w:rsidRPr="00CD24D8" w14:paraId="3E4E1CC7" w14:textId="77777777" w:rsidTr="006E108D">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2694" w:type="dxa"/>
            <w:noWrap/>
            <w:hideMark/>
          </w:tcPr>
          <w:p w14:paraId="2AE0AAE0" w14:textId="1045A6DC" w:rsidR="002902A5" w:rsidRPr="008D1EFE" w:rsidRDefault="002902A5" w:rsidP="00F90AFB">
            <w:pPr>
              <w:spacing w:before="40" w:after="40"/>
              <w:rPr>
                <w:b w:val="0"/>
                <w:bCs w:val="0"/>
                <w:szCs w:val="22"/>
              </w:rPr>
            </w:pPr>
            <w:r>
              <w:rPr>
                <w:szCs w:val="22"/>
              </w:rPr>
              <w:t>Month</w:t>
            </w:r>
          </w:p>
        </w:tc>
        <w:tc>
          <w:tcPr>
            <w:tcW w:w="2976" w:type="dxa"/>
            <w:hideMark/>
          </w:tcPr>
          <w:p w14:paraId="08082FB1" w14:textId="04C28956" w:rsidR="002902A5" w:rsidRPr="008D1EFE" w:rsidRDefault="002902A5" w:rsidP="00F90AFB">
            <w:pPr>
              <w:spacing w:before="40" w:after="40"/>
              <w:jc w:val="center"/>
              <w:cnfStyle w:val="100000000000" w:firstRow="1" w:lastRow="0" w:firstColumn="0" w:lastColumn="0" w:oddVBand="0" w:evenVBand="0" w:oddHBand="0" w:evenHBand="0" w:firstRowFirstColumn="0" w:firstRowLastColumn="0" w:lastRowFirstColumn="0" w:lastRowLastColumn="0"/>
              <w:rPr>
                <w:b w:val="0"/>
                <w:bCs w:val="0"/>
                <w:szCs w:val="22"/>
              </w:rPr>
            </w:pPr>
            <w:r>
              <w:rPr>
                <w:szCs w:val="22"/>
              </w:rPr>
              <w:t>Total days with books closed</w:t>
            </w:r>
          </w:p>
        </w:tc>
        <w:tc>
          <w:tcPr>
            <w:tcW w:w="3402" w:type="dxa"/>
          </w:tcPr>
          <w:p w14:paraId="3D1A4463" w14:textId="222571AA" w:rsidR="002902A5" w:rsidRPr="008D1EFE" w:rsidRDefault="002902A5" w:rsidP="00F90AFB">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b w:val="0"/>
                <w:bCs w:val="0"/>
                <w:szCs w:val="22"/>
              </w:rPr>
            </w:pPr>
            <w:r>
              <w:rPr>
                <w:szCs w:val="22"/>
              </w:rPr>
              <w:t>Total organisations closed</w:t>
            </w:r>
            <w:r w:rsidR="00C6582E">
              <w:rPr>
                <w:rStyle w:val="FootnoteReference"/>
                <w:szCs w:val="22"/>
              </w:rPr>
              <w:footnoteReference w:id="18"/>
            </w:r>
          </w:p>
        </w:tc>
      </w:tr>
      <w:tr w:rsidR="002902A5" w:rsidRPr="00CD24D8" w14:paraId="222F849A" w14:textId="77777777" w:rsidTr="006E10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94" w:type="dxa"/>
            <w:noWrap/>
            <w:hideMark/>
          </w:tcPr>
          <w:p w14:paraId="55B2D4D6" w14:textId="23B0021C" w:rsidR="002902A5" w:rsidRPr="008D1EFE" w:rsidRDefault="002902A5" w:rsidP="00F90AFB">
            <w:pPr>
              <w:spacing w:before="40" w:after="40"/>
              <w:rPr>
                <w:szCs w:val="22"/>
              </w:rPr>
            </w:pPr>
            <w:r>
              <w:rPr>
                <w:szCs w:val="22"/>
              </w:rPr>
              <w:t>September 2021</w:t>
            </w:r>
          </w:p>
        </w:tc>
        <w:tc>
          <w:tcPr>
            <w:tcW w:w="2976" w:type="dxa"/>
            <w:noWrap/>
            <w:hideMark/>
          </w:tcPr>
          <w:p w14:paraId="489BE7B7" w14:textId="5FD10F0C" w:rsidR="002902A5" w:rsidRPr="008D1EFE" w:rsidRDefault="005935E8" w:rsidP="00F90AF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203</w:t>
            </w:r>
          </w:p>
        </w:tc>
        <w:tc>
          <w:tcPr>
            <w:tcW w:w="3402" w:type="dxa"/>
          </w:tcPr>
          <w:p w14:paraId="20152662" w14:textId="723B2AF4" w:rsidR="002902A5" w:rsidRPr="008D1EFE" w:rsidRDefault="005935E8" w:rsidP="00F90AF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5</w:t>
            </w:r>
          </w:p>
        </w:tc>
      </w:tr>
      <w:tr w:rsidR="002902A5" w:rsidRPr="00CD24D8" w14:paraId="586B7C4E" w14:textId="77777777" w:rsidTr="006E108D">
        <w:trPr>
          <w:trHeight w:val="288"/>
        </w:trPr>
        <w:tc>
          <w:tcPr>
            <w:cnfStyle w:val="001000000000" w:firstRow="0" w:lastRow="0" w:firstColumn="1" w:lastColumn="0" w:oddVBand="0" w:evenVBand="0" w:oddHBand="0" w:evenHBand="0" w:firstRowFirstColumn="0" w:firstRowLastColumn="0" w:lastRowFirstColumn="0" w:lastRowLastColumn="0"/>
            <w:tcW w:w="2694" w:type="dxa"/>
            <w:noWrap/>
            <w:hideMark/>
          </w:tcPr>
          <w:p w14:paraId="13FEBCC6" w14:textId="09598CD0" w:rsidR="002902A5" w:rsidRPr="008D1EFE" w:rsidRDefault="002902A5" w:rsidP="00F90AFB">
            <w:pPr>
              <w:spacing w:before="40" w:after="40"/>
              <w:rPr>
                <w:szCs w:val="22"/>
              </w:rPr>
            </w:pPr>
            <w:r>
              <w:rPr>
                <w:szCs w:val="22"/>
              </w:rPr>
              <w:t>October 2021</w:t>
            </w:r>
          </w:p>
        </w:tc>
        <w:tc>
          <w:tcPr>
            <w:tcW w:w="2976" w:type="dxa"/>
            <w:noWrap/>
            <w:hideMark/>
          </w:tcPr>
          <w:p w14:paraId="2E9CAD94" w14:textId="0952AC17" w:rsidR="002902A5" w:rsidRPr="008D1EFE" w:rsidRDefault="00447431" w:rsidP="00F90AF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275</w:t>
            </w:r>
          </w:p>
        </w:tc>
        <w:tc>
          <w:tcPr>
            <w:tcW w:w="3402" w:type="dxa"/>
          </w:tcPr>
          <w:p w14:paraId="4BBBE2B4" w14:textId="2DDD1BE3" w:rsidR="002902A5" w:rsidRPr="008D1EFE" w:rsidRDefault="00447431" w:rsidP="00F90AF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8</w:t>
            </w:r>
          </w:p>
        </w:tc>
      </w:tr>
      <w:tr w:rsidR="002902A5" w:rsidRPr="00CD24D8" w14:paraId="12CCA1F4" w14:textId="77777777" w:rsidTr="006E10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94" w:type="dxa"/>
            <w:noWrap/>
            <w:hideMark/>
          </w:tcPr>
          <w:p w14:paraId="2E8CAF94" w14:textId="02CC45EB" w:rsidR="002902A5" w:rsidRPr="008D1EFE" w:rsidRDefault="002902A5" w:rsidP="00F90AFB">
            <w:pPr>
              <w:spacing w:before="40" w:after="40"/>
              <w:rPr>
                <w:szCs w:val="22"/>
              </w:rPr>
            </w:pPr>
            <w:r>
              <w:rPr>
                <w:szCs w:val="22"/>
              </w:rPr>
              <w:t>November 2021</w:t>
            </w:r>
          </w:p>
        </w:tc>
        <w:tc>
          <w:tcPr>
            <w:tcW w:w="2976" w:type="dxa"/>
            <w:noWrap/>
            <w:hideMark/>
          </w:tcPr>
          <w:p w14:paraId="6638822D" w14:textId="70E86C06" w:rsidR="002902A5" w:rsidRPr="008D1EFE" w:rsidRDefault="00447431" w:rsidP="00F90AF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447</w:t>
            </w:r>
          </w:p>
        </w:tc>
        <w:tc>
          <w:tcPr>
            <w:tcW w:w="3402" w:type="dxa"/>
          </w:tcPr>
          <w:p w14:paraId="20E6E825" w14:textId="3081AC2E" w:rsidR="002902A5" w:rsidRPr="008D1EFE" w:rsidRDefault="00447431" w:rsidP="00F90AF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10</w:t>
            </w:r>
          </w:p>
        </w:tc>
      </w:tr>
      <w:tr w:rsidR="002902A5" w:rsidRPr="00CD24D8" w14:paraId="32407D69" w14:textId="77777777" w:rsidTr="006E108D">
        <w:trPr>
          <w:trHeight w:val="288"/>
        </w:trPr>
        <w:tc>
          <w:tcPr>
            <w:cnfStyle w:val="001000000000" w:firstRow="0" w:lastRow="0" w:firstColumn="1" w:lastColumn="0" w:oddVBand="0" w:evenVBand="0" w:oddHBand="0" w:evenHBand="0" w:firstRowFirstColumn="0" w:firstRowLastColumn="0" w:lastRowFirstColumn="0" w:lastRowLastColumn="0"/>
            <w:tcW w:w="2694" w:type="dxa"/>
            <w:noWrap/>
            <w:hideMark/>
          </w:tcPr>
          <w:p w14:paraId="4F6DB700" w14:textId="6FE0EF26" w:rsidR="002902A5" w:rsidRPr="008D1EFE" w:rsidRDefault="002902A5" w:rsidP="00F90AFB">
            <w:pPr>
              <w:spacing w:before="40" w:after="40"/>
              <w:rPr>
                <w:szCs w:val="22"/>
              </w:rPr>
            </w:pPr>
            <w:r>
              <w:rPr>
                <w:szCs w:val="22"/>
              </w:rPr>
              <w:t>December 2021</w:t>
            </w:r>
          </w:p>
        </w:tc>
        <w:tc>
          <w:tcPr>
            <w:tcW w:w="2976" w:type="dxa"/>
            <w:noWrap/>
            <w:hideMark/>
          </w:tcPr>
          <w:p w14:paraId="3F125F08" w14:textId="2524CA9B" w:rsidR="002902A5" w:rsidRPr="008D1EFE" w:rsidRDefault="00447431" w:rsidP="00F90AF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587</w:t>
            </w:r>
          </w:p>
        </w:tc>
        <w:tc>
          <w:tcPr>
            <w:tcW w:w="3402" w:type="dxa"/>
          </w:tcPr>
          <w:p w14:paraId="3ED47C30" w14:textId="10E13AF2" w:rsidR="002902A5" w:rsidRPr="008D1EFE" w:rsidRDefault="00447431" w:rsidP="00F90AF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9</w:t>
            </w:r>
          </w:p>
        </w:tc>
      </w:tr>
      <w:tr w:rsidR="002902A5" w:rsidRPr="00CD24D8" w14:paraId="08EBC510" w14:textId="77777777" w:rsidTr="006E10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94" w:type="dxa"/>
            <w:noWrap/>
            <w:hideMark/>
          </w:tcPr>
          <w:p w14:paraId="6F17EF52" w14:textId="7362203D" w:rsidR="002902A5" w:rsidRPr="008D1EFE" w:rsidRDefault="002902A5" w:rsidP="00F90AFB">
            <w:pPr>
              <w:spacing w:before="40" w:after="40"/>
              <w:rPr>
                <w:szCs w:val="22"/>
              </w:rPr>
            </w:pPr>
            <w:r>
              <w:rPr>
                <w:szCs w:val="22"/>
              </w:rPr>
              <w:t>January 2021</w:t>
            </w:r>
          </w:p>
        </w:tc>
        <w:tc>
          <w:tcPr>
            <w:tcW w:w="2976" w:type="dxa"/>
            <w:noWrap/>
            <w:hideMark/>
          </w:tcPr>
          <w:p w14:paraId="04451640" w14:textId="324F429F" w:rsidR="002902A5" w:rsidRPr="008D1EFE" w:rsidRDefault="00447431" w:rsidP="00F90AF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471</w:t>
            </w:r>
          </w:p>
        </w:tc>
        <w:tc>
          <w:tcPr>
            <w:tcW w:w="3402" w:type="dxa"/>
          </w:tcPr>
          <w:p w14:paraId="697359A8" w14:textId="1EA793CA" w:rsidR="002902A5" w:rsidRPr="008D1EFE" w:rsidRDefault="00447431" w:rsidP="00F90AFB">
            <w:pPr>
              <w:spacing w:before="40" w:after="40"/>
              <w:jc w:val="center"/>
              <w:cnfStyle w:val="000000100000" w:firstRow="0" w:lastRow="0" w:firstColumn="0" w:lastColumn="0" w:oddVBand="0" w:evenVBand="0" w:oddHBand="1" w:evenHBand="0" w:firstRowFirstColumn="0" w:firstRowLastColumn="0" w:lastRowFirstColumn="0" w:lastRowLastColumn="0"/>
              <w:rPr>
                <w:szCs w:val="22"/>
              </w:rPr>
            </w:pPr>
            <w:r>
              <w:rPr>
                <w:szCs w:val="22"/>
              </w:rPr>
              <w:t>8</w:t>
            </w:r>
          </w:p>
        </w:tc>
      </w:tr>
      <w:tr w:rsidR="002902A5" w:rsidRPr="00CD24D8" w14:paraId="6CEC50C0" w14:textId="77777777" w:rsidTr="006E108D">
        <w:trPr>
          <w:trHeight w:val="288"/>
        </w:trPr>
        <w:tc>
          <w:tcPr>
            <w:cnfStyle w:val="001000000000" w:firstRow="0" w:lastRow="0" w:firstColumn="1" w:lastColumn="0" w:oddVBand="0" w:evenVBand="0" w:oddHBand="0" w:evenHBand="0" w:firstRowFirstColumn="0" w:firstRowLastColumn="0" w:lastRowFirstColumn="0" w:lastRowLastColumn="0"/>
            <w:tcW w:w="2694" w:type="dxa"/>
            <w:noWrap/>
            <w:hideMark/>
          </w:tcPr>
          <w:p w14:paraId="57F3A617" w14:textId="1C3B827C" w:rsidR="002902A5" w:rsidRPr="008D1EFE" w:rsidRDefault="005935E8" w:rsidP="00F90AFB">
            <w:pPr>
              <w:spacing w:before="40" w:after="40"/>
              <w:rPr>
                <w:szCs w:val="22"/>
              </w:rPr>
            </w:pPr>
            <w:r>
              <w:rPr>
                <w:szCs w:val="22"/>
              </w:rPr>
              <w:t>February 2021</w:t>
            </w:r>
          </w:p>
        </w:tc>
        <w:tc>
          <w:tcPr>
            <w:tcW w:w="2976" w:type="dxa"/>
            <w:noWrap/>
            <w:hideMark/>
          </w:tcPr>
          <w:p w14:paraId="3937B1CC" w14:textId="517B4BD2" w:rsidR="002902A5" w:rsidRPr="008D1EFE" w:rsidRDefault="00447431" w:rsidP="00F90AF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374</w:t>
            </w:r>
          </w:p>
        </w:tc>
        <w:tc>
          <w:tcPr>
            <w:tcW w:w="3402" w:type="dxa"/>
          </w:tcPr>
          <w:p w14:paraId="28ACB91A" w14:textId="6600DC2B" w:rsidR="002902A5" w:rsidRPr="008D1EFE" w:rsidRDefault="00447431" w:rsidP="00F90AFB">
            <w:pPr>
              <w:spacing w:before="40" w:after="40"/>
              <w:jc w:val="center"/>
              <w:cnfStyle w:val="000000000000" w:firstRow="0" w:lastRow="0" w:firstColumn="0" w:lastColumn="0" w:oddVBand="0" w:evenVBand="0" w:oddHBand="0" w:evenHBand="0" w:firstRowFirstColumn="0" w:firstRowLastColumn="0" w:lastRowFirstColumn="0" w:lastRowLastColumn="0"/>
              <w:rPr>
                <w:szCs w:val="22"/>
              </w:rPr>
            </w:pPr>
            <w:r>
              <w:rPr>
                <w:szCs w:val="22"/>
              </w:rPr>
              <w:t>7</w:t>
            </w:r>
          </w:p>
        </w:tc>
      </w:tr>
      <w:tr w:rsidR="002902A5" w:rsidRPr="009B3F71" w14:paraId="2A4E5BA6" w14:textId="77777777" w:rsidTr="006E108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94" w:type="dxa"/>
            <w:noWrap/>
          </w:tcPr>
          <w:p w14:paraId="40E2C0D3" w14:textId="77777777" w:rsidR="002902A5" w:rsidRPr="009B3F71" w:rsidRDefault="002902A5" w:rsidP="00F90AFB">
            <w:pPr>
              <w:spacing w:before="40" w:after="40"/>
              <w:rPr>
                <w:b w:val="0"/>
                <w:bCs w:val="0"/>
                <w:szCs w:val="22"/>
              </w:rPr>
            </w:pPr>
            <w:r w:rsidRPr="009B3F71">
              <w:rPr>
                <w:szCs w:val="22"/>
              </w:rPr>
              <w:t>TOTAL</w:t>
            </w:r>
          </w:p>
        </w:tc>
        <w:tc>
          <w:tcPr>
            <w:tcW w:w="2976" w:type="dxa"/>
            <w:noWrap/>
          </w:tcPr>
          <w:p w14:paraId="560C27DB" w14:textId="069D7D7C" w:rsidR="002902A5" w:rsidRPr="009B3F71" w:rsidRDefault="00447431" w:rsidP="00F90AFB">
            <w:pPr>
              <w:spacing w:before="40" w:after="40"/>
              <w:jc w:val="center"/>
              <w:cnfStyle w:val="000000100000" w:firstRow="0" w:lastRow="0" w:firstColumn="0" w:lastColumn="0" w:oddVBand="0" w:evenVBand="0" w:oddHBand="1" w:evenHBand="0" w:firstRowFirstColumn="0" w:firstRowLastColumn="0" w:lastRowFirstColumn="0" w:lastRowLastColumn="0"/>
              <w:rPr>
                <w:b/>
                <w:bCs/>
                <w:szCs w:val="22"/>
              </w:rPr>
            </w:pPr>
            <w:r>
              <w:rPr>
                <w:b/>
                <w:bCs/>
                <w:szCs w:val="22"/>
              </w:rPr>
              <w:t>2,357</w:t>
            </w:r>
          </w:p>
        </w:tc>
        <w:tc>
          <w:tcPr>
            <w:tcW w:w="3402" w:type="dxa"/>
          </w:tcPr>
          <w:p w14:paraId="2B61E828" w14:textId="77777777" w:rsidR="002902A5" w:rsidRPr="009B3F71" w:rsidRDefault="002902A5" w:rsidP="00F90AFB">
            <w:pPr>
              <w:spacing w:before="40" w:after="40"/>
              <w:jc w:val="center"/>
              <w:cnfStyle w:val="000000100000" w:firstRow="0" w:lastRow="0" w:firstColumn="0" w:lastColumn="0" w:oddVBand="0" w:evenVBand="0" w:oddHBand="1" w:evenHBand="0" w:firstRowFirstColumn="0" w:firstRowLastColumn="0" w:lastRowFirstColumn="0" w:lastRowLastColumn="0"/>
              <w:rPr>
                <w:b/>
                <w:bCs/>
                <w:szCs w:val="22"/>
              </w:rPr>
            </w:pPr>
          </w:p>
        </w:tc>
      </w:tr>
    </w:tbl>
    <w:p w14:paraId="72D78497" w14:textId="66F65B40" w:rsidR="00735339" w:rsidRPr="005B5FB5" w:rsidRDefault="0046392D" w:rsidP="0046392D">
      <w:pPr>
        <w:pStyle w:val="Caption"/>
      </w:pPr>
      <w:bookmarkStart w:id="50" w:name="_Toc149667992"/>
      <w:r>
        <w:lastRenderedPageBreak/>
        <w:t xml:space="preserve">Figure </w:t>
      </w:r>
      <w:r w:rsidR="00FC3DB4">
        <w:fldChar w:fldCharType="begin"/>
      </w:r>
      <w:r w:rsidR="00FC3DB4">
        <w:instrText xml:space="preserve"> SEQ Figure \* ARABIC </w:instrText>
      </w:r>
      <w:r w:rsidR="00FC3DB4">
        <w:fldChar w:fldCharType="separate"/>
      </w:r>
      <w:r w:rsidR="00C8748D">
        <w:rPr>
          <w:noProof/>
        </w:rPr>
        <w:t>9</w:t>
      </w:r>
      <w:r w:rsidR="00FC3DB4">
        <w:rPr>
          <w:noProof/>
        </w:rPr>
        <w:fldChar w:fldCharType="end"/>
      </w:r>
      <w:r>
        <w:t xml:space="preserve">: </w:t>
      </w:r>
      <w:r w:rsidR="00735339">
        <w:t>Total days books closed by month</w:t>
      </w:r>
      <w:r w:rsidR="00735339" w:rsidRPr="00094B76">
        <w:t>: September 2021 – February 2022</w:t>
      </w:r>
      <w:bookmarkEnd w:id="50"/>
    </w:p>
    <w:p w14:paraId="0C21504F" w14:textId="4BD4272C" w:rsidR="00463ED5" w:rsidRDefault="002C7350" w:rsidP="00B757BE">
      <w:pPr>
        <w:rPr>
          <w:rFonts w:cs="Helvetica"/>
          <w:szCs w:val="22"/>
          <w:lang w:val="en-US"/>
        </w:rPr>
      </w:pPr>
      <w:r>
        <w:rPr>
          <w:noProof/>
          <w:lang w:eastAsia="en-AU"/>
        </w:rPr>
        <w:drawing>
          <wp:inline distT="0" distB="0" distL="0" distR="0" wp14:anchorId="24EFA524" wp14:editId="05CE6B39">
            <wp:extent cx="5688000" cy="2671200"/>
            <wp:effectExtent l="0" t="0" r="8255" b="15240"/>
            <wp:docPr id="292243582" name="Chart 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F06D484" w14:textId="1F56C991" w:rsidR="00EE765F" w:rsidRPr="007D6C9D" w:rsidRDefault="00EE765F" w:rsidP="00EE765F">
      <w:pPr>
        <w:rPr>
          <w:rFonts w:cs="Helvetica"/>
          <w:szCs w:val="22"/>
        </w:rPr>
      </w:pPr>
      <w:r w:rsidRPr="007D6C9D">
        <w:rPr>
          <w:rFonts w:cs="Helvetica"/>
          <w:szCs w:val="22"/>
        </w:rPr>
        <w:t xml:space="preserve">Table </w:t>
      </w:r>
      <w:r>
        <w:rPr>
          <w:rFonts w:cs="Helvetica"/>
          <w:szCs w:val="22"/>
        </w:rPr>
        <w:t xml:space="preserve">4 </w:t>
      </w:r>
      <w:r w:rsidRPr="007D6C9D">
        <w:rPr>
          <w:rFonts w:cs="Helvetica"/>
          <w:szCs w:val="22"/>
        </w:rPr>
        <w:t>above shows that during the survey period, advocacy organisations closed their books and were unable to accept new advocacy clients for 2,357 days</w:t>
      </w:r>
      <w:r>
        <w:rPr>
          <w:rFonts w:cs="Helvetica"/>
          <w:szCs w:val="22"/>
        </w:rPr>
        <w:t xml:space="preserve"> over the 6</w:t>
      </w:r>
      <w:r w:rsidR="00DC55F0">
        <w:rPr>
          <w:rFonts w:cs="Helvetica"/>
          <w:szCs w:val="22"/>
        </w:rPr>
        <w:t>-</w:t>
      </w:r>
      <w:r>
        <w:rPr>
          <w:rFonts w:cs="Helvetica"/>
          <w:szCs w:val="22"/>
        </w:rPr>
        <w:t>month period</w:t>
      </w:r>
      <w:r w:rsidRPr="007D6C9D">
        <w:rPr>
          <w:rFonts w:cs="Helvetica"/>
          <w:szCs w:val="22"/>
        </w:rPr>
        <w:t xml:space="preserve">. </w:t>
      </w:r>
    </w:p>
    <w:p w14:paraId="3413898C" w14:textId="3654061F" w:rsidR="00EE765F" w:rsidRDefault="00EE765F" w:rsidP="00EE765F">
      <w:pPr>
        <w:rPr>
          <w:rFonts w:cs="Helvetica"/>
          <w:szCs w:val="22"/>
        </w:rPr>
      </w:pPr>
      <w:r w:rsidRPr="007D6C9D">
        <w:rPr>
          <w:rFonts w:cs="Helvetica"/>
          <w:szCs w:val="22"/>
        </w:rPr>
        <w:t>During September, five organisations</w:t>
      </w:r>
      <w:r w:rsidR="00CE72CB">
        <w:rPr>
          <w:rFonts w:cs="Helvetica"/>
          <w:szCs w:val="22"/>
        </w:rPr>
        <w:t xml:space="preserve"> (across 6 funding streams)</w:t>
      </w:r>
      <w:r w:rsidRPr="007D6C9D">
        <w:rPr>
          <w:rFonts w:cs="Helvetica"/>
          <w:szCs w:val="22"/>
        </w:rPr>
        <w:t xml:space="preserve"> closed their books for a total of 203 days. November was the month when ten organisations closed their books, the highest number of organisations closed during the survey period. This resulted in books being closed for a total 447 days.</w:t>
      </w:r>
    </w:p>
    <w:p w14:paraId="6C907F2C" w14:textId="1A76FB47" w:rsidR="00EE765F" w:rsidRPr="00BA62A4" w:rsidRDefault="00EE765F" w:rsidP="00EE765F">
      <w:pPr>
        <w:rPr>
          <w:rFonts w:cs="Helvetica"/>
          <w:szCs w:val="22"/>
        </w:rPr>
      </w:pPr>
      <w:r w:rsidRPr="00BA62A4">
        <w:rPr>
          <w:rFonts w:cs="Helvetica"/>
          <w:szCs w:val="22"/>
        </w:rPr>
        <w:t>This is across all (</w:t>
      </w:r>
      <w:r w:rsidR="004037E0">
        <w:rPr>
          <w:rFonts w:cs="Helvetica"/>
          <w:szCs w:val="22"/>
        </w:rPr>
        <w:t>six</w:t>
      </w:r>
      <w:r w:rsidRPr="00BA62A4">
        <w:rPr>
          <w:rFonts w:cs="Helvetica"/>
          <w:szCs w:val="22"/>
        </w:rPr>
        <w:t xml:space="preserve">) funding streams. For example, </w:t>
      </w:r>
      <w:r w:rsidR="004037E0">
        <w:rPr>
          <w:rFonts w:cs="Helvetica"/>
          <w:szCs w:val="22"/>
        </w:rPr>
        <w:t>one</w:t>
      </w:r>
      <w:r w:rsidRPr="00BA62A4">
        <w:rPr>
          <w:rFonts w:cs="Helvetica"/>
          <w:szCs w:val="22"/>
        </w:rPr>
        <w:t xml:space="preserve"> organisation may have books closed for 30 days for NDIS Appeals, and </w:t>
      </w:r>
      <w:r w:rsidR="004037E0">
        <w:rPr>
          <w:rFonts w:cs="Helvetica"/>
          <w:szCs w:val="22"/>
        </w:rPr>
        <w:t>ten</w:t>
      </w:r>
      <w:r w:rsidRPr="00BA62A4">
        <w:rPr>
          <w:rFonts w:cs="Helvetica"/>
          <w:szCs w:val="22"/>
        </w:rPr>
        <w:t xml:space="preserve"> days for NDAP. This demonstrates that organisations are under pressure, </w:t>
      </w:r>
      <w:r>
        <w:rPr>
          <w:rFonts w:cs="Helvetica"/>
          <w:szCs w:val="22"/>
        </w:rPr>
        <w:t xml:space="preserve">given that they needed to </w:t>
      </w:r>
      <w:r w:rsidRPr="00BA62A4">
        <w:rPr>
          <w:rFonts w:cs="Helvetica"/>
          <w:szCs w:val="22"/>
        </w:rPr>
        <w:t>clos</w:t>
      </w:r>
      <w:r>
        <w:rPr>
          <w:rFonts w:cs="Helvetica"/>
          <w:szCs w:val="22"/>
        </w:rPr>
        <w:t>e</w:t>
      </w:r>
      <w:r w:rsidRPr="00BA62A4">
        <w:rPr>
          <w:rFonts w:cs="Helvetica"/>
          <w:szCs w:val="22"/>
        </w:rPr>
        <w:t xml:space="preserve"> the books for more than one funding stream.</w:t>
      </w:r>
    </w:p>
    <w:p w14:paraId="7E6BA77A" w14:textId="596467FA" w:rsidR="00EE765F" w:rsidRPr="007D6C9D" w:rsidRDefault="00EE765F" w:rsidP="00EE765F">
      <w:pPr>
        <w:rPr>
          <w:rFonts w:cs="Helvetica"/>
          <w:szCs w:val="22"/>
        </w:rPr>
      </w:pPr>
      <w:r w:rsidRPr="007D6C9D">
        <w:rPr>
          <w:rFonts w:cs="Helvetica"/>
          <w:szCs w:val="22"/>
        </w:rPr>
        <w:t>December had the highest number of days for books being closed – 587</w:t>
      </w:r>
      <w:r w:rsidR="004037E0">
        <w:rPr>
          <w:rFonts w:cs="Helvetica"/>
          <w:szCs w:val="22"/>
        </w:rPr>
        <w:t xml:space="preserve">, </w:t>
      </w:r>
      <w:r w:rsidRPr="007D6C9D">
        <w:rPr>
          <w:rFonts w:cs="Helvetica"/>
          <w:szCs w:val="22"/>
        </w:rPr>
        <w:t xml:space="preserve">and the second highest number of organisations with their books closed. </w:t>
      </w:r>
    </w:p>
    <w:p w14:paraId="0304F420" w14:textId="02B6DF6B" w:rsidR="00EE765F" w:rsidRDefault="002C7350" w:rsidP="00EE765F">
      <w:pPr>
        <w:rPr>
          <w:rFonts w:eastAsia="Times New Roman" w:cs="Helvetica"/>
          <w:szCs w:val="22"/>
          <w:lang w:eastAsia="en-AU"/>
        </w:rPr>
      </w:pPr>
      <w:r>
        <w:rPr>
          <w:rFonts w:cs="Helvetica"/>
          <w:szCs w:val="22"/>
        </w:rPr>
        <w:t xml:space="preserve">Figure </w:t>
      </w:r>
      <w:r w:rsidR="0046392D">
        <w:rPr>
          <w:rFonts w:cs="Helvetica"/>
          <w:szCs w:val="22"/>
        </w:rPr>
        <w:t>9</w:t>
      </w:r>
      <w:r w:rsidR="00EE765F">
        <w:rPr>
          <w:rFonts w:cs="Helvetica"/>
          <w:szCs w:val="22"/>
        </w:rPr>
        <w:t xml:space="preserve"> demonstrates a strong upward trend in the number of days advocacy organisations had to close their books, indicating increasing demand for advocacy. </w:t>
      </w:r>
      <w:r w:rsidR="00EE765F">
        <w:rPr>
          <w:rFonts w:eastAsia="Times New Roman" w:cs="Helvetica"/>
          <w:szCs w:val="22"/>
          <w:lang w:eastAsia="en-AU"/>
        </w:rPr>
        <w:t xml:space="preserve">A period longer than </w:t>
      </w:r>
      <w:r w:rsidR="004037E0">
        <w:rPr>
          <w:rFonts w:eastAsia="Times New Roman" w:cs="Helvetica"/>
          <w:szCs w:val="22"/>
          <w:lang w:eastAsia="en-AU"/>
        </w:rPr>
        <w:t>six</w:t>
      </w:r>
      <w:r w:rsidR="00EE765F">
        <w:rPr>
          <w:rFonts w:eastAsia="Times New Roman" w:cs="Helvetica"/>
          <w:szCs w:val="22"/>
          <w:lang w:eastAsia="en-AU"/>
        </w:rPr>
        <w:t xml:space="preserve"> months to gather data on this </w:t>
      </w:r>
      <w:r w:rsidR="00EE765F" w:rsidRPr="09533E59">
        <w:rPr>
          <w:rFonts w:eastAsia="Times New Roman" w:cs="Helvetica"/>
          <w:szCs w:val="22"/>
          <w:lang w:eastAsia="en-AU"/>
        </w:rPr>
        <w:t>is required to confirm th</w:t>
      </w:r>
      <w:r w:rsidR="00EE765F">
        <w:rPr>
          <w:rFonts w:eastAsia="Times New Roman" w:cs="Helvetica"/>
          <w:szCs w:val="22"/>
          <w:lang w:eastAsia="en-AU"/>
        </w:rPr>
        <w:t>e</w:t>
      </w:r>
      <w:r w:rsidR="00EE765F" w:rsidRPr="09533E59">
        <w:rPr>
          <w:rFonts w:eastAsia="Times New Roman" w:cs="Helvetica"/>
          <w:szCs w:val="22"/>
          <w:lang w:eastAsia="en-AU"/>
        </w:rPr>
        <w:t xml:space="preserve"> trend in th</w:t>
      </w:r>
      <w:r w:rsidR="00EE765F">
        <w:rPr>
          <w:rFonts w:eastAsia="Times New Roman" w:cs="Helvetica"/>
          <w:szCs w:val="22"/>
          <w:lang w:eastAsia="en-AU"/>
        </w:rPr>
        <w:t>is</w:t>
      </w:r>
      <w:r w:rsidR="00EE765F" w:rsidRPr="09533E59">
        <w:rPr>
          <w:rFonts w:eastAsia="Times New Roman" w:cs="Helvetica"/>
          <w:szCs w:val="22"/>
          <w:lang w:eastAsia="en-AU"/>
        </w:rPr>
        <w:t xml:space="preserve"> data.</w:t>
      </w:r>
    </w:p>
    <w:p w14:paraId="26C2550D" w14:textId="77777777" w:rsidR="00C9518B" w:rsidRPr="00223511" w:rsidRDefault="00C9518B" w:rsidP="00037275">
      <w:pPr>
        <w:pStyle w:val="Heading4"/>
      </w:pPr>
      <w:r w:rsidRPr="00223511">
        <w:t>Information</w:t>
      </w:r>
      <w:r w:rsidR="00832220" w:rsidRPr="00223511">
        <w:t xml:space="preserve"> provision</w:t>
      </w:r>
    </w:p>
    <w:p w14:paraId="08459404" w14:textId="43473B77" w:rsidR="0084705B" w:rsidRDefault="0084705B" w:rsidP="00037275">
      <w:pPr>
        <w:rPr>
          <w:rFonts w:cs="Helvetica"/>
          <w:szCs w:val="22"/>
          <w:lang w:val="en-US"/>
        </w:rPr>
      </w:pPr>
      <w:r w:rsidRPr="0084705B">
        <w:rPr>
          <w:rFonts w:eastAsia="Times New Roman" w:cs="Helvetica"/>
          <w:szCs w:val="22"/>
          <w:lang w:eastAsia="en-AU"/>
        </w:rPr>
        <w:t>The</w:t>
      </w:r>
      <w:r w:rsidR="00EA1E3F">
        <w:rPr>
          <w:rFonts w:eastAsia="Times New Roman" w:cs="Helvetica"/>
          <w:szCs w:val="22"/>
          <w:lang w:eastAsia="en-AU"/>
        </w:rPr>
        <w:t>re</w:t>
      </w:r>
      <w:r w:rsidRPr="0084705B">
        <w:rPr>
          <w:rFonts w:eastAsia="Times New Roman" w:cs="Helvetica"/>
          <w:szCs w:val="22"/>
          <w:lang w:eastAsia="en-AU"/>
        </w:rPr>
        <w:t xml:space="preserve"> </w:t>
      </w:r>
      <w:r w:rsidR="00EA1E3F">
        <w:rPr>
          <w:rFonts w:eastAsia="Times New Roman" w:cs="Helvetica"/>
          <w:szCs w:val="22"/>
          <w:lang w:eastAsia="en-AU"/>
        </w:rPr>
        <w:t>was</w:t>
      </w:r>
      <w:r w:rsidRPr="0084705B">
        <w:rPr>
          <w:rFonts w:eastAsia="Times New Roman" w:cs="Helvetica"/>
          <w:szCs w:val="22"/>
          <w:lang w:eastAsia="en-AU"/>
        </w:rPr>
        <w:t xml:space="preserve"> a </w:t>
      </w:r>
      <w:r w:rsidRPr="0084705B">
        <w:t xml:space="preserve">significant upward trend </w:t>
      </w:r>
      <w:r w:rsidRPr="0084705B">
        <w:rPr>
          <w:rFonts w:cs="Helvetica"/>
          <w:szCs w:val="22"/>
        </w:rPr>
        <w:t>in numbers of people provided with information</w:t>
      </w:r>
      <w:r w:rsidR="0005788C">
        <w:rPr>
          <w:rFonts w:cs="Helvetica"/>
          <w:szCs w:val="22"/>
        </w:rPr>
        <w:t>,</w:t>
      </w:r>
      <w:r w:rsidR="00170674">
        <w:rPr>
          <w:rFonts w:cs="Helvetica"/>
          <w:szCs w:val="22"/>
        </w:rPr>
        <w:t xml:space="preserve"> who did not become advocacy clients</w:t>
      </w:r>
      <w:r w:rsidR="006101A9">
        <w:rPr>
          <w:rFonts w:cs="Helvetica"/>
          <w:szCs w:val="22"/>
        </w:rPr>
        <w:t>;</w:t>
      </w:r>
      <w:r w:rsidR="00170674">
        <w:rPr>
          <w:rStyle w:val="FootnoteReference"/>
          <w:rFonts w:eastAsia="Times New Roman" w:cs="Helvetica"/>
          <w:szCs w:val="22"/>
          <w:lang w:eastAsia="en-AU"/>
        </w:rPr>
        <w:footnoteReference w:id="19"/>
      </w:r>
      <w:r w:rsidRPr="0084705B">
        <w:rPr>
          <w:rFonts w:cs="Helvetica"/>
          <w:szCs w:val="22"/>
        </w:rPr>
        <w:t xml:space="preserve"> </w:t>
      </w:r>
      <w:r w:rsidRPr="0084705B">
        <w:rPr>
          <w:rFonts w:cs="Helvetica"/>
          <w:szCs w:val="22"/>
          <w:lang w:val="en-US"/>
        </w:rPr>
        <w:t xml:space="preserve">over the </w:t>
      </w:r>
      <w:r w:rsidR="004037E0">
        <w:rPr>
          <w:rFonts w:cs="Helvetica"/>
          <w:szCs w:val="22"/>
          <w:lang w:val="en-US"/>
        </w:rPr>
        <w:t xml:space="preserve">six </w:t>
      </w:r>
      <w:r w:rsidRPr="0084705B">
        <w:rPr>
          <w:rFonts w:cs="Helvetica"/>
          <w:szCs w:val="22"/>
          <w:lang w:val="en-US"/>
        </w:rPr>
        <w:t>months, disability advocacy organisations provided information to an average of 28% of advocacy requests</w:t>
      </w:r>
      <w:r w:rsidR="00CA0877">
        <w:rPr>
          <w:rFonts w:cs="Helvetica"/>
          <w:szCs w:val="22"/>
          <w:lang w:val="en-US"/>
        </w:rPr>
        <w:t xml:space="preserve"> (Fig</w:t>
      </w:r>
      <w:r w:rsidR="002D4D7C">
        <w:rPr>
          <w:rFonts w:cs="Helvetica"/>
          <w:szCs w:val="22"/>
          <w:lang w:val="en-US"/>
        </w:rPr>
        <w:t>ure</w:t>
      </w:r>
      <w:r w:rsidR="00CA0877">
        <w:rPr>
          <w:rFonts w:cs="Helvetica"/>
          <w:szCs w:val="22"/>
          <w:lang w:val="en-US"/>
        </w:rPr>
        <w:t xml:space="preserve"> </w:t>
      </w:r>
      <w:r w:rsidR="0046392D">
        <w:rPr>
          <w:rFonts w:cs="Helvetica"/>
          <w:szCs w:val="22"/>
          <w:lang w:val="en-US"/>
        </w:rPr>
        <w:t>10</w:t>
      </w:r>
      <w:r w:rsidR="00CA0877">
        <w:rPr>
          <w:rFonts w:cs="Helvetica"/>
          <w:szCs w:val="22"/>
          <w:lang w:val="en-US"/>
        </w:rPr>
        <w:t>)</w:t>
      </w:r>
      <w:r w:rsidRPr="0084705B">
        <w:rPr>
          <w:rFonts w:cs="Helvetica"/>
          <w:szCs w:val="22"/>
          <w:lang w:val="en-US"/>
        </w:rPr>
        <w:t xml:space="preserve">. </w:t>
      </w:r>
    </w:p>
    <w:p w14:paraId="704C0B15" w14:textId="43946E20" w:rsidR="00223511" w:rsidRDefault="00F00B2B" w:rsidP="00037275">
      <w:pPr>
        <w:rPr>
          <w:szCs w:val="22"/>
        </w:rPr>
      </w:pPr>
      <w:r>
        <w:rPr>
          <w:szCs w:val="22"/>
        </w:rPr>
        <w:t>The data does not clearly indicate whe</w:t>
      </w:r>
      <w:r w:rsidR="00D064BD">
        <w:rPr>
          <w:szCs w:val="22"/>
        </w:rPr>
        <w:t>the</w:t>
      </w:r>
      <w:r>
        <w:rPr>
          <w:szCs w:val="22"/>
        </w:rPr>
        <w:t>r the limited ca</w:t>
      </w:r>
      <w:r w:rsidR="00961EDE">
        <w:rPr>
          <w:szCs w:val="22"/>
        </w:rPr>
        <w:t xml:space="preserve">pacity of the organisation to take on new clients or the adequacy of the information provided was the reason for the request for advocacy not becoming an ongoing client. </w:t>
      </w:r>
      <w:r w:rsidR="00223511" w:rsidRPr="0084705B">
        <w:rPr>
          <w:szCs w:val="22"/>
        </w:rPr>
        <w:t xml:space="preserve"> </w:t>
      </w:r>
    </w:p>
    <w:p w14:paraId="5A41D0C8" w14:textId="613AA35B" w:rsidR="00075D3F" w:rsidRDefault="0046392D" w:rsidP="0046392D">
      <w:pPr>
        <w:pStyle w:val="Caption"/>
        <w:rPr>
          <w:lang w:val="en-US"/>
        </w:rPr>
      </w:pPr>
      <w:bookmarkStart w:id="51" w:name="_Toc138929699"/>
      <w:bookmarkStart w:id="52" w:name="_Toc149667993"/>
      <w:r>
        <w:lastRenderedPageBreak/>
        <w:t xml:space="preserve">Figure </w:t>
      </w:r>
      <w:r w:rsidR="00FC3DB4">
        <w:fldChar w:fldCharType="begin"/>
      </w:r>
      <w:r w:rsidR="00FC3DB4">
        <w:instrText xml:space="preserve"> SEQ Figure \* ARABIC </w:instrText>
      </w:r>
      <w:r w:rsidR="00FC3DB4">
        <w:fldChar w:fldCharType="separate"/>
      </w:r>
      <w:r w:rsidR="00C8748D">
        <w:rPr>
          <w:noProof/>
        </w:rPr>
        <w:t>10</w:t>
      </w:r>
      <w:r w:rsidR="00FC3DB4">
        <w:rPr>
          <w:noProof/>
        </w:rPr>
        <w:fldChar w:fldCharType="end"/>
      </w:r>
      <w:r>
        <w:t xml:space="preserve">: </w:t>
      </w:r>
      <w:r w:rsidR="00A52D2B">
        <w:rPr>
          <w:lang w:val="en-US"/>
        </w:rPr>
        <w:t>People provided with information who did not become advocacy clients</w:t>
      </w:r>
      <w:bookmarkEnd w:id="51"/>
      <w:bookmarkEnd w:id="52"/>
    </w:p>
    <w:p w14:paraId="05EA6EB0" w14:textId="7DB1C9AE" w:rsidR="00075D3F" w:rsidRDefault="00075D3F" w:rsidP="00DA1F59">
      <w:pPr>
        <w:pStyle w:val="Caption"/>
      </w:pPr>
      <w:r>
        <w:rPr>
          <w:noProof/>
          <w:lang w:eastAsia="en-AU"/>
        </w:rPr>
        <w:drawing>
          <wp:inline distT="0" distB="0" distL="0" distR="0" wp14:anchorId="693E4A31" wp14:editId="0D4E6FD6">
            <wp:extent cx="5623200" cy="2743200"/>
            <wp:effectExtent l="0" t="0" r="15875" b="0"/>
            <wp:docPr id="1878191121" name="Chart 1">
              <a:extLst xmlns:a="http://schemas.openxmlformats.org/drawingml/2006/main">
                <a:ext uri="{FF2B5EF4-FFF2-40B4-BE49-F238E27FC236}">
                  <a16:creationId xmlns:a16="http://schemas.microsoft.com/office/drawing/2014/main" id="{A12C8D5C-EA3E-2C7D-5D63-D2BD32F8C0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FCD1070" w14:textId="14377AF9" w:rsidR="0065007A" w:rsidRPr="00D2119E" w:rsidRDefault="0065007A" w:rsidP="006C7888">
      <w:r w:rsidRPr="00223511">
        <w:t>Advocacy agencies have various approaches to capturing data regarding enquiries where information is provided</w:t>
      </w:r>
      <w:r w:rsidR="001D0197">
        <w:t>—</w:t>
      </w:r>
      <w:r w:rsidRPr="00223511">
        <w:t xml:space="preserve">some do not record it, others use an intake ‘logbook’ but do not transfer the data to a spreadsheet or other software, some use software systems such as IVO or Community Data </w:t>
      </w:r>
      <w:r>
        <w:t>S</w:t>
      </w:r>
      <w:r w:rsidRPr="00223511">
        <w:t xml:space="preserve">olutions to collect data required by their funding agencies. </w:t>
      </w:r>
    </w:p>
    <w:p w14:paraId="48FC4438" w14:textId="409D8D20" w:rsidR="0065007A" w:rsidRPr="00D2119E" w:rsidRDefault="0065007A" w:rsidP="007B643D">
      <w:pPr>
        <w:spacing w:before="120"/>
        <w:ind w:left="720" w:right="804"/>
        <w:rPr>
          <w:i/>
          <w:iCs/>
          <w:szCs w:val="22"/>
        </w:rPr>
      </w:pPr>
      <w:r w:rsidRPr="00EA1E3F">
        <w:rPr>
          <w:i/>
          <w:iCs/>
          <w:szCs w:val="22"/>
        </w:rPr>
        <w:t>“Some of the data</w:t>
      </w:r>
      <w:r w:rsidR="00D2119E">
        <w:rPr>
          <w:i/>
          <w:iCs/>
          <w:szCs w:val="22"/>
        </w:rPr>
        <w:t xml:space="preserve"> </w:t>
      </w:r>
      <w:r w:rsidRPr="00EA1E3F">
        <w:rPr>
          <w:i/>
          <w:iCs/>
          <w:szCs w:val="22"/>
        </w:rPr>
        <w:t>…</w:t>
      </w:r>
      <w:r w:rsidR="00D2119E">
        <w:rPr>
          <w:i/>
          <w:iCs/>
          <w:szCs w:val="22"/>
        </w:rPr>
        <w:t xml:space="preserve"> </w:t>
      </w:r>
      <w:r w:rsidRPr="00EA1E3F">
        <w:rPr>
          <w:i/>
          <w:iCs/>
          <w:szCs w:val="22"/>
        </w:rPr>
        <w:t>has not been systematically recorded. There are a lot of enquiries where we simply provide the information and advice without recording any client details unless it is going to be put onto the waiting list.”</w:t>
      </w:r>
      <w:r w:rsidRPr="00EA1E3F">
        <w:rPr>
          <w:rStyle w:val="FootnoteReference"/>
          <w:i/>
          <w:iCs/>
          <w:szCs w:val="22"/>
        </w:rPr>
        <w:footnoteReference w:id="20"/>
      </w:r>
    </w:p>
    <w:p w14:paraId="10D206A4" w14:textId="2F7558EE" w:rsidR="00EA1E3F" w:rsidRPr="00D0156F" w:rsidRDefault="00223511" w:rsidP="00EA1E3F">
      <w:r>
        <w:rPr>
          <w:lang w:eastAsia="en-AU"/>
        </w:rPr>
        <w:t xml:space="preserve">Information provision </w:t>
      </w:r>
      <w:r w:rsidR="00832220">
        <w:rPr>
          <w:lang w:eastAsia="en-AU"/>
        </w:rPr>
        <w:t>is an important aspect</w:t>
      </w:r>
      <w:r w:rsidR="00143C7E" w:rsidRPr="000B11CF">
        <w:rPr>
          <w:lang w:eastAsia="en-AU"/>
        </w:rPr>
        <w:t xml:space="preserve"> of the work </w:t>
      </w:r>
      <w:r>
        <w:rPr>
          <w:lang w:eastAsia="en-AU"/>
        </w:rPr>
        <w:t xml:space="preserve">of </w:t>
      </w:r>
      <w:r w:rsidR="00143C7E" w:rsidRPr="000B11CF">
        <w:rPr>
          <w:lang w:eastAsia="en-AU"/>
        </w:rPr>
        <w:t>advocacy organisations</w:t>
      </w:r>
      <w:r w:rsidR="00996473">
        <w:rPr>
          <w:lang w:eastAsia="en-AU"/>
        </w:rPr>
        <w:t>; t</w:t>
      </w:r>
      <w:r>
        <w:rPr>
          <w:lang w:eastAsia="en-AU"/>
        </w:rPr>
        <w:t>his may</w:t>
      </w:r>
      <w:r w:rsidRPr="000B11CF">
        <w:rPr>
          <w:lang w:eastAsia="en-AU"/>
        </w:rPr>
        <w:t xml:space="preserve"> </w:t>
      </w:r>
      <w:r>
        <w:rPr>
          <w:lang w:eastAsia="en-AU"/>
        </w:rPr>
        <w:t xml:space="preserve">be </w:t>
      </w:r>
      <w:r w:rsidR="00E04AF8">
        <w:rPr>
          <w:lang w:eastAsia="en-AU"/>
        </w:rPr>
        <w:t xml:space="preserve">the provision of </w:t>
      </w:r>
      <w:r w:rsidRPr="000B11CF">
        <w:rPr>
          <w:lang w:eastAsia="en-AU"/>
        </w:rPr>
        <w:t>a phone number or website</w:t>
      </w:r>
      <w:r w:rsidR="00E04AF8">
        <w:rPr>
          <w:lang w:eastAsia="en-AU"/>
        </w:rPr>
        <w:t>,</w:t>
      </w:r>
      <w:r>
        <w:rPr>
          <w:lang w:eastAsia="en-AU"/>
        </w:rPr>
        <w:t xml:space="preserve"> or </w:t>
      </w:r>
      <w:r w:rsidR="00E04AF8">
        <w:rPr>
          <w:lang w:eastAsia="en-AU"/>
        </w:rPr>
        <w:t xml:space="preserve">it </w:t>
      </w:r>
      <w:r>
        <w:rPr>
          <w:lang w:eastAsia="en-AU"/>
        </w:rPr>
        <w:t>may involve more detailed</w:t>
      </w:r>
      <w:r w:rsidRPr="000B11CF">
        <w:rPr>
          <w:lang w:eastAsia="en-AU"/>
        </w:rPr>
        <w:t xml:space="preserve"> </w:t>
      </w:r>
      <w:r>
        <w:rPr>
          <w:lang w:eastAsia="en-AU"/>
        </w:rPr>
        <w:t xml:space="preserve">explanation of </w:t>
      </w:r>
      <w:r w:rsidRPr="000B11CF">
        <w:rPr>
          <w:lang w:eastAsia="en-AU"/>
        </w:rPr>
        <w:t>a system or a process and the best way to navigate it</w:t>
      </w:r>
      <w:r>
        <w:rPr>
          <w:lang w:eastAsia="en-AU"/>
        </w:rPr>
        <w:t xml:space="preserve">. Information may </w:t>
      </w:r>
      <w:r w:rsidR="00996473">
        <w:rPr>
          <w:lang w:eastAsia="en-AU"/>
        </w:rPr>
        <w:t xml:space="preserve">also </w:t>
      </w:r>
      <w:r>
        <w:rPr>
          <w:lang w:eastAsia="en-AU"/>
        </w:rPr>
        <w:t xml:space="preserve">be provided </w:t>
      </w:r>
      <w:r w:rsidR="00E04AF8">
        <w:rPr>
          <w:lang w:eastAsia="en-AU"/>
        </w:rPr>
        <w:t>when</w:t>
      </w:r>
      <w:r w:rsidR="00E04AF8" w:rsidRPr="00223511">
        <w:rPr>
          <w:lang w:eastAsia="en-AU"/>
        </w:rPr>
        <w:t xml:space="preserve"> </w:t>
      </w:r>
      <w:r w:rsidR="00E04AF8">
        <w:rPr>
          <w:lang w:eastAsia="en-AU"/>
        </w:rPr>
        <w:t>an</w:t>
      </w:r>
      <w:r w:rsidR="00E04AF8" w:rsidRPr="00223511">
        <w:rPr>
          <w:lang w:eastAsia="en-AU"/>
        </w:rPr>
        <w:t xml:space="preserve"> </w:t>
      </w:r>
      <w:r w:rsidR="00143C7E" w:rsidRPr="00223511">
        <w:rPr>
          <w:lang w:eastAsia="en-AU"/>
        </w:rPr>
        <w:t xml:space="preserve">organisation has no capacity to take </w:t>
      </w:r>
      <w:r>
        <w:rPr>
          <w:lang w:eastAsia="en-AU"/>
        </w:rPr>
        <w:t>the person</w:t>
      </w:r>
      <w:r w:rsidR="00495187">
        <w:rPr>
          <w:lang w:eastAsia="en-AU"/>
        </w:rPr>
        <w:t xml:space="preserve"> on</w:t>
      </w:r>
      <w:r>
        <w:rPr>
          <w:lang w:eastAsia="en-AU"/>
        </w:rPr>
        <w:t xml:space="preserve"> </w:t>
      </w:r>
      <w:r w:rsidR="00143C7E" w:rsidRPr="00223511">
        <w:rPr>
          <w:lang w:eastAsia="en-AU"/>
        </w:rPr>
        <w:t>as a client.</w:t>
      </w:r>
      <w:r w:rsidR="00143C7E" w:rsidRPr="000B11CF">
        <w:rPr>
          <w:lang w:eastAsia="en-AU"/>
        </w:rPr>
        <w:t xml:space="preserve"> </w:t>
      </w:r>
      <w:r>
        <w:rPr>
          <w:lang w:eastAsia="en-AU"/>
        </w:rPr>
        <w:t xml:space="preserve">Sourcing and providing information can be time consuming, however this activity is frequently not captured in organisational records. </w:t>
      </w:r>
      <w:r w:rsidR="0084705B">
        <w:rPr>
          <w:lang w:eastAsia="en-AU"/>
        </w:rPr>
        <w:t>Requesting</w:t>
      </w:r>
      <w:r w:rsidR="00143C7E" w:rsidRPr="000B11CF">
        <w:rPr>
          <w:lang w:eastAsia="en-AU"/>
        </w:rPr>
        <w:t xml:space="preserve"> details of the </w:t>
      </w:r>
      <w:r w:rsidR="0084705B">
        <w:rPr>
          <w:lang w:eastAsia="en-AU"/>
        </w:rPr>
        <w:t xml:space="preserve">inquiring </w:t>
      </w:r>
      <w:r w:rsidR="00143C7E" w:rsidRPr="000B11CF">
        <w:rPr>
          <w:lang w:eastAsia="en-AU"/>
        </w:rPr>
        <w:t xml:space="preserve">person may be inappropriate </w:t>
      </w:r>
      <w:r>
        <w:rPr>
          <w:lang w:eastAsia="en-AU"/>
        </w:rPr>
        <w:t xml:space="preserve">and </w:t>
      </w:r>
      <w:r w:rsidR="00143C7E" w:rsidRPr="000B11CF">
        <w:rPr>
          <w:lang w:eastAsia="en-AU"/>
        </w:rPr>
        <w:t xml:space="preserve">organisations often provide information without recording details of the person. </w:t>
      </w:r>
      <w:r w:rsidR="00EA1E3F">
        <w:t>T</w:t>
      </w:r>
      <w:r w:rsidR="00EA1E3F" w:rsidRPr="00223511">
        <w:t>hir</w:t>
      </w:r>
      <w:r w:rsidR="00F90AFB">
        <w:t xml:space="preserve">d </w:t>
      </w:r>
      <w:r w:rsidR="00EA1E3F" w:rsidRPr="00223511">
        <w:t>party enquiries e.g.</w:t>
      </w:r>
      <w:r w:rsidR="00495187">
        <w:t xml:space="preserve"> those from</w:t>
      </w:r>
      <w:r w:rsidR="00EA1E3F" w:rsidRPr="00223511">
        <w:t xml:space="preserve"> Centrelink, hospital social workers,</w:t>
      </w:r>
      <w:r w:rsidR="00495187">
        <w:t xml:space="preserve"> and</w:t>
      </w:r>
      <w:r w:rsidR="00EA1E3F" w:rsidRPr="00223511">
        <w:t xml:space="preserve"> health professionals are excluded from </w:t>
      </w:r>
      <w:r w:rsidR="00EA1E3F">
        <w:t xml:space="preserve">DEX reporting. </w:t>
      </w:r>
      <w:r w:rsidR="00EA1E3F" w:rsidRPr="00223511">
        <w:t>Th</w:t>
      </w:r>
      <w:r w:rsidR="0065007A">
        <w:t>e above factors</w:t>
      </w:r>
      <w:r w:rsidR="00EA1E3F" w:rsidRPr="00223511">
        <w:t xml:space="preserve"> </w:t>
      </w:r>
      <w:r w:rsidR="00123E5F" w:rsidRPr="00223511">
        <w:t>lead</w:t>
      </w:r>
      <w:r w:rsidR="00EA1E3F" w:rsidRPr="00223511">
        <w:t xml:space="preserve"> to an underestimation of the </w:t>
      </w:r>
      <w:r w:rsidR="0065007A">
        <w:t xml:space="preserve">total </w:t>
      </w:r>
      <w:r w:rsidR="00EA1E3F" w:rsidRPr="00223511">
        <w:t xml:space="preserve">work </w:t>
      </w:r>
      <w:r w:rsidR="008F1B61">
        <w:t xml:space="preserve">of </w:t>
      </w:r>
      <w:r w:rsidR="00EA1E3F" w:rsidRPr="00223511">
        <w:t>advocates</w:t>
      </w:r>
      <w:r w:rsidR="008F1B61">
        <w:t>.</w:t>
      </w:r>
      <w:r w:rsidR="00EA1E3F" w:rsidRPr="00223511">
        <w:t xml:space="preserve"> </w:t>
      </w:r>
    </w:p>
    <w:p w14:paraId="64558370" w14:textId="77777777" w:rsidR="00A3120D" w:rsidRDefault="00C07C93" w:rsidP="00EB456F">
      <w:pPr>
        <w:pStyle w:val="Heading2"/>
      </w:pPr>
      <w:bookmarkStart w:id="53" w:name="_Toc149667979"/>
      <w:r>
        <w:t>Q</w:t>
      </w:r>
      <w:r w:rsidR="00A3120D">
        <w:t xml:space="preserve">ualitative </w:t>
      </w:r>
      <w:r w:rsidR="00886592">
        <w:t>data themes</w:t>
      </w:r>
      <w:bookmarkEnd w:id="53"/>
      <w:r w:rsidR="00886592">
        <w:t xml:space="preserve"> </w:t>
      </w:r>
    </w:p>
    <w:p w14:paraId="3FA052ED" w14:textId="77777777" w:rsidR="0091548C" w:rsidRPr="00284067" w:rsidRDefault="00576671" w:rsidP="00037275">
      <w:r>
        <w:t>A</w:t>
      </w:r>
      <w:r w:rsidR="00A3120D" w:rsidRPr="00284067">
        <w:t xml:space="preserve">nalysis of the </w:t>
      </w:r>
      <w:r>
        <w:t>project</w:t>
      </w:r>
      <w:r w:rsidR="00F639BB">
        <w:t>’s</w:t>
      </w:r>
      <w:r>
        <w:t xml:space="preserve"> qualitative data (survey qualitative comments, discussion forums and interviews) revealed a number of themes</w:t>
      </w:r>
      <w:r w:rsidR="0065007A">
        <w:t xml:space="preserve"> that </w:t>
      </w:r>
      <w:r w:rsidR="005E0C62" w:rsidRPr="00284067">
        <w:t>centre</w:t>
      </w:r>
      <w:r w:rsidR="008F5538">
        <w:t>d</w:t>
      </w:r>
      <w:r w:rsidR="005E0C62" w:rsidRPr="00284067">
        <w:t xml:space="preserve"> around </w:t>
      </w:r>
      <w:r w:rsidR="009E754D" w:rsidRPr="00284067">
        <w:t>overloaded service systems</w:t>
      </w:r>
      <w:r>
        <w:t xml:space="preserve"> and can be summarised as follows</w:t>
      </w:r>
      <w:r w:rsidR="007334D7">
        <w:t>:</w:t>
      </w:r>
    </w:p>
    <w:p w14:paraId="049A35E1" w14:textId="77777777" w:rsidR="00A25977" w:rsidRPr="00284067" w:rsidRDefault="000F1307" w:rsidP="004037E0">
      <w:pPr>
        <w:pStyle w:val="ListParagraph"/>
        <w:numPr>
          <w:ilvl w:val="0"/>
          <w:numId w:val="11"/>
        </w:numPr>
        <w:ind w:left="714" w:hanging="357"/>
        <w:contextualSpacing w:val="0"/>
        <w:rPr>
          <w:szCs w:val="22"/>
        </w:rPr>
      </w:pPr>
      <w:r>
        <w:rPr>
          <w:szCs w:val="22"/>
        </w:rPr>
        <w:t>C</w:t>
      </w:r>
      <w:r w:rsidR="00A25977" w:rsidRPr="00284067">
        <w:rPr>
          <w:szCs w:val="22"/>
        </w:rPr>
        <w:t xml:space="preserve">omplexity of advocacy issues </w:t>
      </w:r>
      <w:r>
        <w:rPr>
          <w:szCs w:val="22"/>
        </w:rPr>
        <w:t>and</w:t>
      </w:r>
      <w:r w:rsidR="00A25977" w:rsidRPr="00284067">
        <w:rPr>
          <w:szCs w:val="22"/>
        </w:rPr>
        <w:t xml:space="preserve"> </w:t>
      </w:r>
      <w:r w:rsidR="001F141D">
        <w:rPr>
          <w:szCs w:val="22"/>
        </w:rPr>
        <w:t xml:space="preserve">dealing with </w:t>
      </w:r>
      <w:r w:rsidR="00A25977" w:rsidRPr="00284067">
        <w:rPr>
          <w:szCs w:val="22"/>
        </w:rPr>
        <w:t>NDIS</w:t>
      </w:r>
      <w:r w:rsidR="0065007A">
        <w:rPr>
          <w:szCs w:val="22"/>
        </w:rPr>
        <w:t xml:space="preserve"> matters</w:t>
      </w:r>
      <w:r w:rsidR="00A52D2B">
        <w:rPr>
          <w:szCs w:val="22"/>
        </w:rPr>
        <w:t>.</w:t>
      </w:r>
    </w:p>
    <w:p w14:paraId="2B119BCE" w14:textId="77777777" w:rsidR="00D64A4A" w:rsidRPr="00284067" w:rsidRDefault="008F5538" w:rsidP="004037E0">
      <w:pPr>
        <w:pStyle w:val="ListParagraph"/>
        <w:numPr>
          <w:ilvl w:val="0"/>
          <w:numId w:val="11"/>
        </w:numPr>
        <w:ind w:left="714" w:hanging="357"/>
        <w:contextualSpacing w:val="0"/>
        <w:rPr>
          <w:szCs w:val="22"/>
        </w:rPr>
      </w:pPr>
      <w:r>
        <w:rPr>
          <w:szCs w:val="22"/>
        </w:rPr>
        <w:t>Overwhelmed d</w:t>
      </w:r>
      <w:r w:rsidR="00D64A4A" w:rsidRPr="00284067">
        <w:rPr>
          <w:szCs w:val="22"/>
        </w:rPr>
        <w:t xml:space="preserve">isability advocacy services </w:t>
      </w:r>
      <w:r w:rsidR="005E5528">
        <w:rPr>
          <w:szCs w:val="22"/>
        </w:rPr>
        <w:t xml:space="preserve">increasingly </w:t>
      </w:r>
      <w:r w:rsidR="00D64A4A" w:rsidRPr="00284067">
        <w:rPr>
          <w:szCs w:val="22"/>
        </w:rPr>
        <w:t>operating in crisis mode</w:t>
      </w:r>
      <w:r w:rsidR="00A52D2B">
        <w:rPr>
          <w:szCs w:val="22"/>
        </w:rPr>
        <w:t>.</w:t>
      </w:r>
    </w:p>
    <w:p w14:paraId="5D9307F9" w14:textId="77777777" w:rsidR="00D64A4A" w:rsidRPr="00284067" w:rsidRDefault="0065007A" w:rsidP="004037E0">
      <w:pPr>
        <w:pStyle w:val="ListParagraph"/>
        <w:numPr>
          <w:ilvl w:val="0"/>
          <w:numId w:val="11"/>
        </w:numPr>
        <w:ind w:left="714" w:hanging="357"/>
        <w:contextualSpacing w:val="0"/>
        <w:rPr>
          <w:szCs w:val="22"/>
        </w:rPr>
      </w:pPr>
      <w:r>
        <w:rPr>
          <w:szCs w:val="22"/>
        </w:rPr>
        <w:t>I</w:t>
      </w:r>
      <w:r w:rsidR="00D64A4A" w:rsidRPr="00284067">
        <w:rPr>
          <w:szCs w:val="22"/>
        </w:rPr>
        <w:t>mportance of systemic advocacy</w:t>
      </w:r>
      <w:r>
        <w:rPr>
          <w:szCs w:val="22"/>
        </w:rPr>
        <w:t xml:space="preserve"> in addressing barriers</w:t>
      </w:r>
      <w:r w:rsidR="00A52D2B">
        <w:rPr>
          <w:szCs w:val="22"/>
        </w:rPr>
        <w:t>.</w:t>
      </w:r>
    </w:p>
    <w:p w14:paraId="6CA5C900" w14:textId="77777777" w:rsidR="00F639BB" w:rsidRPr="00D2119E" w:rsidRDefault="001F141D" w:rsidP="004037E0">
      <w:pPr>
        <w:pStyle w:val="ListParagraph"/>
        <w:numPr>
          <w:ilvl w:val="0"/>
          <w:numId w:val="11"/>
        </w:numPr>
        <w:contextualSpacing w:val="0"/>
        <w:rPr>
          <w:szCs w:val="22"/>
        </w:rPr>
      </w:pPr>
      <w:bookmarkStart w:id="54" w:name="_Hlk132869820"/>
      <w:r w:rsidRPr="0065007A">
        <w:rPr>
          <w:szCs w:val="22"/>
        </w:rPr>
        <w:t>Need for f</w:t>
      </w:r>
      <w:r w:rsidR="00050043" w:rsidRPr="0065007A">
        <w:rPr>
          <w:szCs w:val="22"/>
        </w:rPr>
        <w:t xml:space="preserve">it-for-purpose </w:t>
      </w:r>
      <w:r w:rsidR="00F93A15" w:rsidRPr="0065007A">
        <w:rPr>
          <w:szCs w:val="22"/>
        </w:rPr>
        <w:t xml:space="preserve">intake processes </w:t>
      </w:r>
      <w:r w:rsidRPr="0065007A">
        <w:rPr>
          <w:szCs w:val="22"/>
        </w:rPr>
        <w:t xml:space="preserve">to </w:t>
      </w:r>
      <w:r w:rsidR="006936DE" w:rsidRPr="0065007A">
        <w:rPr>
          <w:szCs w:val="22"/>
        </w:rPr>
        <w:t xml:space="preserve">provide </w:t>
      </w:r>
      <w:r w:rsidR="005E5528" w:rsidRPr="0065007A">
        <w:rPr>
          <w:szCs w:val="22"/>
        </w:rPr>
        <w:t>greater access to advocacy</w:t>
      </w:r>
      <w:bookmarkEnd w:id="54"/>
      <w:r w:rsidR="00A52D2B">
        <w:rPr>
          <w:szCs w:val="22"/>
        </w:rPr>
        <w:t>.</w:t>
      </w:r>
    </w:p>
    <w:p w14:paraId="2F1CF445" w14:textId="77777777" w:rsidR="00595C13" w:rsidRPr="0065007A" w:rsidRDefault="000F1307" w:rsidP="0065007A">
      <w:pPr>
        <w:pStyle w:val="Heading4"/>
        <w:rPr>
          <w:sz w:val="24"/>
        </w:rPr>
      </w:pPr>
      <w:r w:rsidRPr="0065007A">
        <w:rPr>
          <w:sz w:val="24"/>
        </w:rPr>
        <w:lastRenderedPageBreak/>
        <w:t>C</w:t>
      </w:r>
      <w:r w:rsidR="00865779" w:rsidRPr="0065007A">
        <w:rPr>
          <w:sz w:val="24"/>
        </w:rPr>
        <w:t>omplexity of</w:t>
      </w:r>
      <w:r w:rsidR="0007346C" w:rsidRPr="0065007A">
        <w:rPr>
          <w:sz w:val="24"/>
        </w:rPr>
        <w:t xml:space="preserve"> </w:t>
      </w:r>
      <w:r w:rsidR="001E5752" w:rsidRPr="0065007A">
        <w:rPr>
          <w:sz w:val="24"/>
        </w:rPr>
        <w:t>advocacy issues</w:t>
      </w:r>
      <w:r w:rsidR="0007346C" w:rsidRPr="0065007A">
        <w:rPr>
          <w:sz w:val="24"/>
        </w:rPr>
        <w:t xml:space="preserve"> </w:t>
      </w:r>
      <w:r w:rsidRPr="0065007A">
        <w:rPr>
          <w:sz w:val="24"/>
        </w:rPr>
        <w:t>and</w:t>
      </w:r>
      <w:r w:rsidR="0007346C" w:rsidRPr="0065007A">
        <w:rPr>
          <w:sz w:val="24"/>
        </w:rPr>
        <w:t xml:space="preserve"> </w:t>
      </w:r>
      <w:r w:rsidR="004772B0">
        <w:rPr>
          <w:sz w:val="24"/>
        </w:rPr>
        <w:t xml:space="preserve">dealing with </w:t>
      </w:r>
      <w:r w:rsidR="0007346C" w:rsidRPr="0065007A">
        <w:rPr>
          <w:sz w:val="24"/>
        </w:rPr>
        <w:t>ND</w:t>
      </w:r>
      <w:r w:rsidR="00654C02" w:rsidRPr="0065007A">
        <w:rPr>
          <w:sz w:val="24"/>
        </w:rPr>
        <w:t xml:space="preserve">IS </w:t>
      </w:r>
      <w:r w:rsidR="004772B0">
        <w:rPr>
          <w:sz w:val="24"/>
        </w:rPr>
        <w:t>matters</w:t>
      </w:r>
    </w:p>
    <w:p w14:paraId="04D3CADE" w14:textId="77777777" w:rsidR="004772B0" w:rsidRDefault="004772B0" w:rsidP="00037275">
      <w:pPr>
        <w:rPr>
          <w:i/>
          <w:iCs/>
          <w:lang w:eastAsia="en-AU"/>
        </w:rPr>
      </w:pPr>
      <w:r w:rsidRPr="00410883">
        <w:rPr>
          <w:lang w:eastAsia="en-AU"/>
        </w:rPr>
        <w:t xml:space="preserve">In response to the survey question, </w:t>
      </w:r>
      <w:r w:rsidRPr="00410883">
        <w:rPr>
          <w:i/>
          <w:iCs/>
          <w:lang w:eastAsia="en-AU"/>
        </w:rPr>
        <w:t>“What do you think is impacting wait times?”</w:t>
      </w:r>
      <w:r>
        <w:rPr>
          <w:lang w:eastAsia="en-AU"/>
        </w:rPr>
        <w:t xml:space="preserve"> advocates repeatedly commented on </w:t>
      </w:r>
      <w:r w:rsidRPr="00410883">
        <w:rPr>
          <w:lang w:eastAsia="en-AU"/>
        </w:rPr>
        <w:t xml:space="preserve">the </w:t>
      </w:r>
      <w:r>
        <w:rPr>
          <w:lang w:eastAsia="en-AU"/>
        </w:rPr>
        <w:t xml:space="preserve">increasing </w:t>
      </w:r>
      <w:r w:rsidRPr="00410883">
        <w:rPr>
          <w:lang w:eastAsia="en-AU"/>
        </w:rPr>
        <w:t>complexity</w:t>
      </w:r>
      <w:r>
        <w:rPr>
          <w:lang w:eastAsia="en-AU"/>
        </w:rPr>
        <w:t xml:space="preserve"> of advocacy issues and navigating the NDIS system: </w:t>
      </w:r>
    </w:p>
    <w:p w14:paraId="4C1A6B48" w14:textId="77777777" w:rsidR="004772B0" w:rsidRDefault="004772B0" w:rsidP="004772B0">
      <w:pPr>
        <w:spacing w:before="200" w:line="276" w:lineRule="auto"/>
        <w:ind w:left="864" w:right="864"/>
        <w:rPr>
          <w:rFonts w:eastAsia="Times New Roman" w:cs="Helvetica"/>
          <w:i/>
          <w:iCs/>
          <w:szCs w:val="22"/>
          <w:lang w:eastAsia="en-AU"/>
        </w:rPr>
      </w:pPr>
      <w:r>
        <w:rPr>
          <w:rFonts w:eastAsia="Times New Roman" w:cs="Helvetica"/>
          <w:i/>
          <w:iCs/>
          <w:szCs w:val="22"/>
          <w:lang w:eastAsia="en-AU"/>
        </w:rPr>
        <w:t>“</w:t>
      </w:r>
      <w:r w:rsidRPr="001062B7">
        <w:rPr>
          <w:rFonts w:eastAsia="Times New Roman" w:cs="Helvetica"/>
          <w:i/>
          <w:iCs/>
          <w:szCs w:val="22"/>
          <w:lang w:eastAsia="en-AU"/>
        </w:rPr>
        <w:t>Wait times are increased due to demand, increasingly complex matters, NDIS bureaucracy, and a severe lack of funding to service client needs.  Overwhelmed service systems lead to waiting times for reports and evidence.”</w:t>
      </w:r>
      <w:r w:rsidRPr="001062B7">
        <w:rPr>
          <w:rFonts w:eastAsia="Times New Roman" w:cs="Helvetica"/>
          <w:i/>
          <w:iCs/>
          <w:szCs w:val="22"/>
          <w:vertAlign w:val="superscript"/>
          <w:lang w:eastAsia="en-AU"/>
        </w:rPr>
        <w:footnoteReference w:id="21"/>
      </w:r>
    </w:p>
    <w:p w14:paraId="2C9291AF" w14:textId="08DE1DCA" w:rsidR="00F31036" w:rsidRPr="0072367E" w:rsidRDefault="00F31036" w:rsidP="00037275">
      <w:pPr>
        <w:rPr>
          <w:lang w:eastAsia="en-AU"/>
        </w:rPr>
      </w:pPr>
      <w:r>
        <w:rPr>
          <w:lang w:eastAsia="en-AU"/>
        </w:rPr>
        <w:t xml:space="preserve">Advocates </w:t>
      </w:r>
      <w:r w:rsidR="004772B0">
        <w:rPr>
          <w:lang w:eastAsia="en-AU"/>
        </w:rPr>
        <w:t>also observed the</w:t>
      </w:r>
      <w:r w:rsidRPr="0072367E">
        <w:rPr>
          <w:lang w:eastAsia="en-AU"/>
        </w:rPr>
        <w:t xml:space="preserve"> increasing trend in </w:t>
      </w:r>
      <w:r w:rsidRPr="00050615">
        <w:rPr>
          <w:iCs/>
          <w:lang w:eastAsia="en-AU"/>
        </w:rPr>
        <w:t>complexity</w:t>
      </w:r>
      <w:r w:rsidRPr="0072367E">
        <w:rPr>
          <w:lang w:eastAsia="en-AU"/>
        </w:rPr>
        <w:t xml:space="preserve"> of advocacy cases</w:t>
      </w:r>
      <w:r w:rsidR="0065007A">
        <w:rPr>
          <w:lang w:eastAsia="en-AU"/>
        </w:rPr>
        <w:t xml:space="preserve"> </w:t>
      </w:r>
      <w:r w:rsidR="00D717EF" w:rsidRPr="0072367E">
        <w:rPr>
          <w:lang w:eastAsia="en-AU"/>
        </w:rPr>
        <w:t>correlate</w:t>
      </w:r>
      <w:r w:rsidR="004772B0">
        <w:rPr>
          <w:lang w:eastAsia="en-AU"/>
        </w:rPr>
        <w:t>d</w:t>
      </w:r>
      <w:r w:rsidR="00D717EF" w:rsidRPr="0072367E">
        <w:rPr>
          <w:lang w:eastAsia="en-AU"/>
        </w:rPr>
        <w:t xml:space="preserve"> with the rollout of the NDIS </w:t>
      </w:r>
      <w:r w:rsidR="0065007A">
        <w:rPr>
          <w:lang w:eastAsia="en-AU"/>
        </w:rPr>
        <w:t xml:space="preserve">and confirmed that disability advocacy organisations </w:t>
      </w:r>
      <w:r w:rsidR="00863677">
        <w:rPr>
          <w:lang w:eastAsia="en-AU"/>
        </w:rPr>
        <w:t>were</w:t>
      </w:r>
      <w:r w:rsidR="0065007A">
        <w:rPr>
          <w:lang w:eastAsia="en-AU"/>
        </w:rPr>
        <w:t xml:space="preserve"> significantly impacted by </w:t>
      </w:r>
      <w:r w:rsidR="0065007A" w:rsidRPr="008F5538">
        <w:rPr>
          <w:lang w:eastAsia="en-AU"/>
        </w:rPr>
        <w:t xml:space="preserve">increasing requests for support with NDIS </w:t>
      </w:r>
      <w:r w:rsidR="00D91E5A">
        <w:rPr>
          <w:lang w:eastAsia="en-AU"/>
        </w:rPr>
        <w:t>a</w:t>
      </w:r>
      <w:r w:rsidR="0065007A" w:rsidRPr="008F5538">
        <w:rPr>
          <w:lang w:eastAsia="en-AU"/>
        </w:rPr>
        <w:t>ppeals</w:t>
      </w:r>
      <w:r w:rsidR="0065007A">
        <w:rPr>
          <w:lang w:eastAsia="en-AU"/>
        </w:rPr>
        <w:t>.</w:t>
      </w:r>
      <w:r w:rsidR="002453AF">
        <w:rPr>
          <w:lang w:eastAsia="en-AU"/>
        </w:rPr>
        <w:t xml:space="preserve"> NDIS </w:t>
      </w:r>
      <w:r w:rsidR="00D91E5A">
        <w:rPr>
          <w:lang w:eastAsia="en-AU"/>
        </w:rPr>
        <w:t>A</w:t>
      </w:r>
      <w:r w:rsidR="002453AF">
        <w:rPr>
          <w:lang w:eastAsia="en-AU"/>
        </w:rPr>
        <w:t xml:space="preserve">ppeals </w:t>
      </w:r>
      <w:r w:rsidR="00D91E5A">
        <w:rPr>
          <w:lang w:eastAsia="en-AU"/>
        </w:rPr>
        <w:t xml:space="preserve">Program </w:t>
      </w:r>
      <w:r w:rsidR="002453AF">
        <w:rPr>
          <w:lang w:eastAsia="en-AU"/>
        </w:rPr>
        <w:t xml:space="preserve">funding has been provided </w:t>
      </w:r>
      <w:r w:rsidR="000C4A00">
        <w:rPr>
          <w:lang w:eastAsia="en-AU"/>
        </w:rPr>
        <w:t xml:space="preserve">to some advocacy </w:t>
      </w:r>
      <w:r w:rsidR="00123E5F">
        <w:rPr>
          <w:lang w:eastAsia="en-AU"/>
        </w:rPr>
        <w:t>organisations,</w:t>
      </w:r>
      <w:r w:rsidR="000C4A00">
        <w:rPr>
          <w:lang w:eastAsia="en-AU"/>
        </w:rPr>
        <w:t xml:space="preserve"> but the level of funding </w:t>
      </w:r>
      <w:r w:rsidR="00175F87">
        <w:rPr>
          <w:lang w:eastAsia="en-AU"/>
        </w:rPr>
        <w:t xml:space="preserve">is not sufficient </w:t>
      </w:r>
      <w:r w:rsidR="00006C4F">
        <w:rPr>
          <w:lang w:eastAsia="en-AU"/>
        </w:rPr>
        <w:t xml:space="preserve">to meet demand </w:t>
      </w:r>
      <w:r w:rsidR="002C7752">
        <w:rPr>
          <w:lang w:eastAsia="en-AU"/>
        </w:rPr>
        <w:t xml:space="preserve">for </w:t>
      </w:r>
      <w:r w:rsidR="006564A8">
        <w:rPr>
          <w:lang w:eastAsia="en-AU"/>
        </w:rPr>
        <w:t>appe</w:t>
      </w:r>
      <w:r w:rsidR="00BA3C3D">
        <w:rPr>
          <w:lang w:eastAsia="en-AU"/>
        </w:rPr>
        <w:t xml:space="preserve">als </w:t>
      </w:r>
      <w:r w:rsidR="001B501A">
        <w:rPr>
          <w:lang w:eastAsia="en-AU"/>
        </w:rPr>
        <w:t xml:space="preserve">due to </w:t>
      </w:r>
      <w:r w:rsidR="00ED3211">
        <w:rPr>
          <w:lang w:eastAsia="en-AU"/>
        </w:rPr>
        <w:t xml:space="preserve">the </w:t>
      </w:r>
      <w:r w:rsidR="00D717EF">
        <w:rPr>
          <w:lang w:eastAsia="en-AU"/>
        </w:rPr>
        <w:t>increased case complexity mean</w:t>
      </w:r>
      <w:r w:rsidR="008370CD">
        <w:rPr>
          <w:lang w:eastAsia="en-AU"/>
        </w:rPr>
        <w:t>ing</w:t>
      </w:r>
      <w:r w:rsidRPr="0072367E">
        <w:rPr>
          <w:lang w:eastAsia="en-AU"/>
        </w:rPr>
        <w:t xml:space="preserve"> cases </w:t>
      </w:r>
      <w:r w:rsidR="00863677">
        <w:rPr>
          <w:lang w:eastAsia="en-AU"/>
        </w:rPr>
        <w:t>took</w:t>
      </w:r>
      <w:r w:rsidRPr="0072367E">
        <w:rPr>
          <w:lang w:eastAsia="en-AU"/>
        </w:rPr>
        <w:t xml:space="preserve"> longer to close</w:t>
      </w:r>
      <w:r w:rsidR="00D717EF">
        <w:rPr>
          <w:lang w:eastAsia="en-AU"/>
        </w:rPr>
        <w:t xml:space="preserve"> and </w:t>
      </w:r>
      <w:r w:rsidR="00E04AF8">
        <w:rPr>
          <w:lang w:eastAsia="en-AU"/>
        </w:rPr>
        <w:t>therefore impacted the</w:t>
      </w:r>
      <w:r w:rsidR="00D717EF">
        <w:rPr>
          <w:lang w:eastAsia="en-AU"/>
        </w:rPr>
        <w:t xml:space="preserve"> resources </w:t>
      </w:r>
      <w:r w:rsidR="00E04AF8">
        <w:rPr>
          <w:lang w:eastAsia="en-AU"/>
        </w:rPr>
        <w:t xml:space="preserve">available </w:t>
      </w:r>
      <w:r w:rsidR="00863677">
        <w:rPr>
          <w:lang w:eastAsia="en-AU"/>
        </w:rPr>
        <w:t>for other cases</w:t>
      </w:r>
      <w:r w:rsidR="002138E4">
        <w:rPr>
          <w:lang w:eastAsia="en-AU"/>
        </w:rPr>
        <w:t>. Organisations</w:t>
      </w:r>
      <w:r w:rsidR="00E041A4">
        <w:rPr>
          <w:lang w:eastAsia="en-AU"/>
        </w:rPr>
        <w:t xml:space="preserve"> report </w:t>
      </w:r>
      <w:r w:rsidR="00EC62C0">
        <w:rPr>
          <w:lang w:eastAsia="en-AU"/>
        </w:rPr>
        <w:t xml:space="preserve">that </w:t>
      </w:r>
      <w:r w:rsidR="00B17172">
        <w:rPr>
          <w:lang w:eastAsia="en-AU"/>
        </w:rPr>
        <w:t>th</w:t>
      </w:r>
      <w:r w:rsidR="00F706C2">
        <w:rPr>
          <w:lang w:eastAsia="en-AU"/>
        </w:rPr>
        <w:t>ey</w:t>
      </w:r>
      <w:r w:rsidR="00B17172">
        <w:rPr>
          <w:lang w:eastAsia="en-AU"/>
        </w:rPr>
        <w:t xml:space="preserve"> need</w:t>
      </w:r>
      <w:r w:rsidR="00F706C2">
        <w:rPr>
          <w:lang w:eastAsia="en-AU"/>
        </w:rPr>
        <w:t>ed</w:t>
      </w:r>
      <w:r w:rsidR="00B17172">
        <w:rPr>
          <w:lang w:eastAsia="en-AU"/>
        </w:rPr>
        <w:t xml:space="preserve"> to dip </w:t>
      </w:r>
      <w:r w:rsidR="00D425A4">
        <w:rPr>
          <w:lang w:eastAsia="en-AU"/>
        </w:rPr>
        <w:t xml:space="preserve">into </w:t>
      </w:r>
      <w:r w:rsidR="00C4629F">
        <w:rPr>
          <w:lang w:eastAsia="en-AU"/>
        </w:rPr>
        <w:t>their</w:t>
      </w:r>
      <w:r w:rsidR="00D97874">
        <w:rPr>
          <w:lang w:eastAsia="en-AU"/>
        </w:rPr>
        <w:t xml:space="preserve"> generalist </w:t>
      </w:r>
      <w:r w:rsidR="00C736D1">
        <w:rPr>
          <w:lang w:eastAsia="en-AU"/>
        </w:rPr>
        <w:t>advocacy f</w:t>
      </w:r>
      <w:r w:rsidR="00362CE0">
        <w:rPr>
          <w:lang w:eastAsia="en-AU"/>
        </w:rPr>
        <w:t>u</w:t>
      </w:r>
      <w:r w:rsidR="00C736D1">
        <w:rPr>
          <w:lang w:eastAsia="en-AU"/>
        </w:rPr>
        <w:t xml:space="preserve">nding </w:t>
      </w:r>
      <w:r w:rsidR="00836E83">
        <w:rPr>
          <w:lang w:eastAsia="en-AU"/>
        </w:rPr>
        <w:t>for the</w:t>
      </w:r>
      <w:r w:rsidR="00985A81">
        <w:rPr>
          <w:lang w:eastAsia="en-AU"/>
        </w:rPr>
        <w:t>ir</w:t>
      </w:r>
      <w:r w:rsidR="00836E83">
        <w:rPr>
          <w:lang w:eastAsia="en-AU"/>
        </w:rPr>
        <w:t xml:space="preserve"> </w:t>
      </w:r>
      <w:r w:rsidR="00A11D27">
        <w:rPr>
          <w:lang w:eastAsia="en-AU"/>
        </w:rPr>
        <w:t xml:space="preserve">NDIS </w:t>
      </w:r>
      <w:r w:rsidR="00D91E5A">
        <w:rPr>
          <w:lang w:eastAsia="en-AU"/>
        </w:rPr>
        <w:t>a</w:t>
      </w:r>
      <w:r w:rsidR="00A11D27">
        <w:rPr>
          <w:lang w:eastAsia="en-AU"/>
        </w:rPr>
        <w:t>ppeals work</w:t>
      </w:r>
      <w:r w:rsidR="00157E78">
        <w:rPr>
          <w:lang w:eastAsia="en-AU"/>
        </w:rPr>
        <w:t xml:space="preserve"> to </w:t>
      </w:r>
      <w:r w:rsidR="00E35371">
        <w:rPr>
          <w:lang w:eastAsia="en-AU"/>
        </w:rPr>
        <w:t>k</w:t>
      </w:r>
      <w:r w:rsidR="00E61577">
        <w:rPr>
          <w:lang w:eastAsia="en-AU"/>
        </w:rPr>
        <w:t>eep up w</w:t>
      </w:r>
      <w:r w:rsidR="00A12FA1">
        <w:rPr>
          <w:lang w:eastAsia="en-AU"/>
        </w:rPr>
        <w:t xml:space="preserve">ith </w:t>
      </w:r>
      <w:r w:rsidR="00DB1FFE">
        <w:rPr>
          <w:lang w:eastAsia="en-AU"/>
        </w:rPr>
        <w:t xml:space="preserve">demand. </w:t>
      </w:r>
      <w:r w:rsidR="00A11D27">
        <w:rPr>
          <w:lang w:eastAsia="en-AU"/>
        </w:rPr>
        <w:t xml:space="preserve"> </w:t>
      </w:r>
    </w:p>
    <w:p w14:paraId="0DEBA8F7" w14:textId="77777777" w:rsidR="00F31036" w:rsidRDefault="00F31036" w:rsidP="00F31036">
      <w:pPr>
        <w:spacing w:before="200" w:line="276" w:lineRule="auto"/>
        <w:ind w:left="864" w:right="864"/>
        <w:rPr>
          <w:rFonts w:eastAsia="Times New Roman" w:cs="Helvetica"/>
          <w:i/>
          <w:iCs/>
          <w:szCs w:val="22"/>
          <w:lang w:eastAsia="en-AU"/>
        </w:rPr>
      </w:pPr>
      <w:r w:rsidRPr="0072367E">
        <w:rPr>
          <w:rFonts w:eastAsia="Times New Roman" w:cs="Helvetica"/>
          <w:i/>
          <w:iCs/>
          <w:szCs w:val="22"/>
          <w:lang w:eastAsia="en-AU"/>
        </w:rPr>
        <w:t>“NDIS Appeals support being sought</w:t>
      </w:r>
      <w:r w:rsidR="00A52D2B">
        <w:rPr>
          <w:rFonts w:eastAsia="Times New Roman" w:cs="Helvetica"/>
          <w:i/>
          <w:iCs/>
          <w:szCs w:val="22"/>
          <w:lang w:eastAsia="en-AU"/>
        </w:rPr>
        <w:t xml:space="preserve"> </w:t>
      </w:r>
      <w:r w:rsidR="001062B7">
        <w:rPr>
          <w:rFonts w:eastAsia="Times New Roman" w:cs="Helvetica"/>
          <w:i/>
          <w:iCs/>
          <w:szCs w:val="22"/>
          <w:lang w:eastAsia="en-AU"/>
        </w:rPr>
        <w:t>…</w:t>
      </w:r>
      <w:r w:rsidR="00A52D2B">
        <w:rPr>
          <w:rFonts w:eastAsia="Times New Roman" w:cs="Helvetica"/>
          <w:i/>
          <w:iCs/>
          <w:szCs w:val="22"/>
          <w:lang w:eastAsia="en-AU"/>
        </w:rPr>
        <w:t xml:space="preserve"> </w:t>
      </w:r>
      <w:r w:rsidRPr="0072367E">
        <w:rPr>
          <w:rFonts w:eastAsia="Times New Roman" w:cs="Helvetica"/>
          <w:i/>
          <w:iCs/>
          <w:szCs w:val="22"/>
          <w:lang w:eastAsia="en-AU"/>
        </w:rPr>
        <w:t>all state-wide orgs appear to be at full capacity leaving people with nowhere to go for help</w:t>
      </w:r>
      <w:r w:rsidR="00A52D2B">
        <w:rPr>
          <w:rFonts w:eastAsia="Times New Roman" w:cs="Helvetica"/>
          <w:i/>
          <w:iCs/>
          <w:szCs w:val="22"/>
          <w:lang w:eastAsia="en-AU"/>
        </w:rPr>
        <w:t>.</w:t>
      </w:r>
      <w:r w:rsidRPr="0072367E">
        <w:rPr>
          <w:rFonts w:eastAsia="Times New Roman" w:cs="Helvetica"/>
          <w:i/>
          <w:iCs/>
          <w:szCs w:val="22"/>
          <w:lang w:eastAsia="en-AU"/>
        </w:rPr>
        <w:t>”</w:t>
      </w:r>
      <w:r>
        <w:rPr>
          <w:rStyle w:val="FootnoteReference"/>
          <w:rFonts w:eastAsia="Times New Roman" w:cs="Helvetica"/>
          <w:i/>
          <w:iCs/>
          <w:szCs w:val="22"/>
          <w:lang w:eastAsia="en-AU"/>
        </w:rPr>
        <w:footnoteReference w:id="22"/>
      </w:r>
    </w:p>
    <w:p w14:paraId="24BDBCA9" w14:textId="4C2983F5" w:rsidR="00906712" w:rsidRDefault="007334D7" w:rsidP="00037275">
      <w:r w:rsidRPr="007334D7">
        <w:t xml:space="preserve">NDIS-related issues can be a matter of urgency for people seeking to become participants or </w:t>
      </w:r>
      <w:r w:rsidR="00D464C9">
        <w:t xml:space="preserve">to </w:t>
      </w:r>
      <w:r w:rsidRPr="007334D7">
        <w:t>access additional supports or equipment through the</w:t>
      </w:r>
      <w:r>
        <w:t>ir</w:t>
      </w:r>
      <w:r w:rsidRPr="007334D7">
        <w:t xml:space="preserve"> NDIS plan.</w:t>
      </w:r>
      <w:r>
        <w:t xml:space="preserve"> Advocates commented that </w:t>
      </w:r>
      <w:r w:rsidR="00362CE0">
        <w:t>only some people with disability</w:t>
      </w:r>
      <w:r w:rsidR="00362CE0" w:rsidRPr="000A0EBA">
        <w:t xml:space="preserve"> </w:t>
      </w:r>
      <w:r w:rsidR="00362CE0">
        <w:t>have</w:t>
      </w:r>
      <w:r w:rsidR="00362CE0" w:rsidRPr="000A0EBA">
        <w:t xml:space="preserve"> support coordination in their plan</w:t>
      </w:r>
      <w:r w:rsidR="00362CE0">
        <w:t>, and this support is</w:t>
      </w:r>
      <w:r w:rsidR="00906712" w:rsidRPr="000A0EBA">
        <w:t xml:space="preserve"> fee-for-service</w:t>
      </w:r>
      <w:r w:rsidR="00610D31">
        <w:t>.</w:t>
      </w:r>
      <w:r w:rsidR="00610D31" w:rsidRPr="000A0EBA">
        <w:t xml:space="preserve"> </w:t>
      </w:r>
      <w:r w:rsidR="00D717EF">
        <w:t xml:space="preserve">The </w:t>
      </w:r>
      <w:r w:rsidR="00906712" w:rsidRPr="000A0EBA">
        <w:t>role of an advocate</w:t>
      </w:r>
      <w:r>
        <w:t xml:space="preserve"> was being strained</w:t>
      </w:r>
      <w:r w:rsidR="00D717EF">
        <w:t xml:space="preserve"> </w:t>
      </w:r>
      <w:r>
        <w:t>with</w:t>
      </w:r>
      <w:r w:rsidR="00906712" w:rsidRPr="000A0EBA">
        <w:t xml:space="preserve"> external pressure to provide a broader </w:t>
      </w:r>
      <w:r w:rsidR="00863677">
        <w:t>scope</w:t>
      </w:r>
      <w:r w:rsidR="00906712" w:rsidRPr="000A0EBA">
        <w:t xml:space="preserve"> of service </w:t>
      </w:r>
      <w:r w:rsidR="00863677">
        <w:t>beyond</w:t>
      </w:r>
      <w:r>
        <w:t xml:space="preserve"> </w:t>
      </w:r>
      <w:r w:rsidR="00906712" w:rsidRPr="000A0EBA">
        <w:t>advocacy</w:t>
      </w:r>
      <w:r w:rsidR="00D717EF">
        <w:t>. However</w:t>
      </w:r>
      <w:r w:rsidR="00F639BB">
        <w:t>,</w:t>
      </w:r>
      <w:r w:rsidR="00D717EF">
        <w:t xml:space="preserve"> if issues </w:t>
      </w:r>
      <w:r w:rsidR="00863677">
        <w:t>were</w:t>
      </w:r>
      <w:r w:rsidR="00D717EF">
        <w:t xml:space="preserve"> not addressed </w:t>
      </w:r>
      <w:r w:rsidR="00863677">
        <w:t>quickly the situation</w:t>
      </w:r>
      <w:r w:rsidR="00D717EF">
        <w:t xml:space="preserve"> </w:t>
      </w:r>
      <w:r>
        <w:t xml:space="preserve">may </w:t>
      </w:r>
      <w:r w:rsidR="00906712" w:rsidRPr="000A0EBA">
        <w:t>become an advocacy issue later</w:t>
      </w:r>
      <w:r w:rsidR="00F639BB">
        <w:t>.</w:t>
      </w:r>
      <w:r>
        <w:t xml:space="preserve"> </w:t>
      </w:r>
      <w:r w:rsidR="00906712">
        <w:t>This occur</w:t>
      </w:r>
      <w:r w:rsidR="00D464C9">
        <w:t>red</w:t>
      </w:r>
      <w:r w:rsidR="00906712">
        <w:t xml:space="preserve"> often with access to NDIS and internal reviews:</w:t>
      </w:r>
    </w:p>
    <w:p w14:paraId="1DFB6A53" w14:textId="1E16ADE8" w:rsidR="00906712" w:rsidRPr="00B33844" w:rsidRDefault="00906712" w:rsidP="007B643D">
      <w:pPr>
        <w:spacing w:before="120" w:after="120" w:line="276" w:lineRule="auto"/>
        <w:ind w:left="720" w:right="662"/>
        <w:rPr>
          <w:rFonts w:eastAsia="Times New Roman" w:cs="Helvetica"/>
          <w:szCs w:val="22"/>
          <w:lang w:eastAsia="en-AU"/>
        </w:rPr>
      </w:pPr>
      <w:r>
        <w:rPr>
          <w:rFonts w:eastAsia="Times New Roman" w:cs="Helvetica"/>
          <w:i/>
          <w:iCs/>
          <w:szCs w:val="22"/>
          <w:lang w:eastAsia="en-AU"/>
        </w:rPr>
        <w:t>“</w:t>
      </w:r>
      <w:r w:rsidRPr="006D173C">
        <w:rPr>
          <w:rFonts w:eastAsia="Times New Roman" w:cs="Helvetica"/>
          <w:i/>
          <w:iCs/>
          <w:szCs w:val="22"/>
          <w:lang w:eastAsia="en-AU"/>
        </w:rPr>
        <w:t>We continue to have a number of enquiries requesting advocacy support for people at NDIS plan reviews and accessing NDIS or internal reviews. We refer access to NDIS to LAC</w:t>
      </w:r>
      <w:r>
        <w:rPr>
          <w:rFonts w:eastAsia="Times New Roman" w:cs="Helvetica"/>
          <w:i/>
          <w:iCs/>
          <w:szCs w:val="22"/>
          <w:lang w:eastAsia="en-AU"/>
        </w:rPr>
        <w:t>s,</w:t>
      </w:r>
      <w:r w:rsidRPr="006D173C">
        <w:rPr>
          <w:rFonts w:eastAsia="Times New Roman" w:cs="Helvetica"/>
          <w:i/>
          <w:iCs/>
          <w:szCs w:val="22"/>
          <w:lang w:eastAsia="en-AU"/>
        </w:rPr>
        <w:t xml:space="preserve"> and we prioritise</w:t>
      </w:r>
      <w:r w:rsidR="00564BDB">
        <w:rPr>
          <w:rFonts w:eastAsia="Times New Roman" w:cs="Helvetica"/>
          <w:i/>
          <w:iCs/>
          <w:szCs w:val="22"/>
          <w:lang w:eastAsia="en-AU"/>
        </w:rPr>
        <w:t xml:space="preserve"> [</w:t>
      </w:r>
      <w:r w:rsidR="00705B8E">
        <w:rPr>
          <w:rFonts w:eastAsia="Times New Roman" w:cs="Helvetica"/>
          <w:i/>
          <w:iCs/>
          <w:szCs w:val="22"/>
          <w:lang w:eastAsia="en-AU"/>
        </w:rPr>
        <w:t>consumers seeking assistance with]</w:t>
      </w:r>
      <w:r w:rsidRPr="006D173C">
        <w:rPr>
          <w:rFonts w:eastAsia="Times New Roman" w:cs="Helvetica"/>
          <w:i/>
          <w:iCs/>
          <w:szCs w:val="22"/>
          <w:lang w:eastAsia="en-AU"/>
        </w:rPr>
        <w:t xml:space="preserve"> plan review and internal review to</w:t>
      </w:r>
      <w:r w:rsidR="00705B8E">
        <w:rPr>
          <w:rFonts w:eastAsia="Times New Roman" w:cs="Helvetica"/>
          <w:i/>
          <w:iCs/>
          <w:szCs w:val="22"/>
          <w:lang w:eastAsia="en-AU"/>
        </w:rPr>
        <w:t xml:space="preserve"> [those]</w:t>
      </w:r>
      <w:r w:rsidRPr="006D173C">
        <w:rPr>
          <w:rFonts w:eastAsia="Times New Roman" w:cs="Helvetica"/>
          <w:i/>
          <w:iCs/>
          <w:szCs w:val="22"/>
          <w:lang w:eastAsia="en-AU"/>
        </w:rPr>
        <w:t xml:space="preserve"> most at risk and</w:t>
      </w:r>
      <w:r w:rsidR="00705B8E">
        <w:rPr>
          <w:rFonts w:eastAsia="Times New Roman" w:cs="Helvetica"/>
          <w:i/>
          <w:iCs/>
          <w:szCs w:val="22"/>
          <w:lang w:eastAsia="en-AU"/>
        </w:rPr>
        <w:t xml:space="preserve"> [with]</w:t>
      </w:r>
      <w:r w:rsidRPr="006D173C">
        <w:rPr>
          <w:rFonts w:eastAsia="Times New Roman" w:cs="Helvetica"/>
          <w:i/>
          <w:iCs/>
          <w:szCs w:val="22"/>
          <w:lang w:eastAsia="en-AU"/>
        </w:rPr>
        <w:t xml:space="preserve"> no informal support</w:t>
      </w:r>
      <w:r w:rsidR="008E30DF">
        <w:rPr>
          <w:rFonts w:eastAsia="Times New Roman" w:cs="Helvetica"/>
          <w:i/>
          <w:iCs/>
          <w:szCs w:val="22"/>
          <w:lang w:eastAsia="en-AU"/>
        </w:rPr>
        <w:t>.</w:t>
      </w:r>
      <w:r>
        <w:rPr>
          <w:rFonts w:eastAsia="Times New Roman" w:cs="Helvetica"/>
          <w:i/>
          <w:iCs/>
          <w:szCs w:val="22"/>
          <w:lang w:eastAsia="en-AU"/>
        </w:rPr>
        <w:t>”</w:t>
      </w:r>
      <w:r>
        <w:rPr>
          <w:rStyle w:val="FootnoteReference"/>
          <w:rFonts w:eastAsia="Times New Roman" w:cs="Helvetica"/>
          <w:i/>
          <w:iCs/>
          <w:szCs w:val="22"/>
          <w:lang w:eastAsia="en-AU"/>
        </w:rPr>
        <w:footnoteReference w:id="23"/>
      </w:r>
    </w:p>
    <w:p w14:paraId="6FCFB8BD" w14:textId="007A9509" w:rsidR="00617CF5" w:rsidRPr="008C5DD0" w:rsidRDefault="00617CF5" w:rsidP="006E108D">
      <w:pPr>
        <w:rPr>
          <w:rFonts w:eastAsia="Times New Roman" w:cs="Helvetica"/>
          <w:i/>
          <w:iCs/>
          <w:szCs w:val="22"/>
          <w:lang w:eastAsia="en-AU"/>
        </w:rPr>
      </w:pPr>
      <w:r w:rsidRPr="00587E1A">
        <w:rPr>
          <w:lang w:eastAsia="en-AU"/>
        </w:rPr>
        <w:t xml:space="preserve">The </w:t>
      </w:r>
      <w:r w:rsidR="00610D31">
        <w:rPr>
          <w:lang w:eastAsia="en-AU"/>
        </w:rPr>
        <w:t xml:space="preserve">NDIS </w:t>
      </w:r>
      <w:r w:rsidRPr="00587E1A">
        <w:rPr>
          <w:lang w:eastAsia="en-AU"/>
        </w:rPr>
        <w:t xml:space="preserve">Appeals </w:t>
      </w:r>
      <w:r w:rsidR="00D91E5A">
        <w:rPr>
          <w:lang w:eastAsia="en-AU"/>
        </w:rPr>
        <w:t>Program</w:t>
      </w:r>
      <w:r w:rsidRPr="00587E1A">
        <w:rPr>
          <w:lang w:eastAsia="en-AU"/>
        </w:rPr>
        <w:t xml:space="preserve"> funding </w:t>
      </w:r>
      <w:r w:rsidR="00610D31">
        <w:rPr>
          <w:lang w:eastAsia="en-AU"/>
        </w:rPr>
        <w:t>appears to have</w:t>
      </w:r>
      <w:r w:rsidR="00610D31" w:rsidRPr="00587E1A">
        <w:rPr>
          <w:lang w:eastAsia="en-AU"/>
        </w:rPr>
        <w:t xml:space="preserve"> </w:t>
      </w:r>
      <w:r w:rsidRPr="00587E1A">
        <w:rPr>
          <w:lang w:eastAsia="en-AU"/>
        </w:rPr>
        <w:t>not kept pace with the significant increased demand for advocacy support for people taking appeals to the A</w:t>
      </w:r>
      <w:r w:rsidR="001D0197">
        <w:rPr>
          <w:lang w:eastAsia="en-AU"/>
        </w:rPr>
        <w:t>dministrative Appeals Tribunal (A</w:t>
      </w:r>
      <w:r w:rsidRPr="00587E1A">
        <w:rPr>
          <w:lang w:eastAsia="en-AU"/>
        </w:rPr>
        <w:t>AT</w:t>
      </w:r>
      <w:r w:rsidR="001D0197">
        <w:rPr>
          <w:lang w:eastAsia="en-AU"/>
        </w:rPr>
        <w:t>)</w:t>
      </w:r>
      <w:r w:rsidR="00EC4EA6">
        <w:rPr>
          <w:lang w:eastAsia="en-AU"/>
        </w:rPr>
        <w:t>.</w:t>
      </w:r>
      <w:r w:rsidR="00D91E5A">
        <w:rPr>
          <w:lang w:eastAsia="en-AU"/>
        </w:rPr>
        <w:t xml:space="preserve"> </w:t>
      </w:r>
      <w:r w:rsidR="00610D31">
        <w:rPr>
          <w:lang w:eastAsia="en-AU"/>
        </w:rPr>
        <w:t>This</w:t>
      </w:r>
      <w:r w:rsidR="00610D31" w:rsidRPr="00587E1A">
        <w:rPr>
          <w:lang w:eastAsia="en-AU"/>
        </w:rPr>
        <w:t xml:space="preserve"> </w:t>
      </w:r>
      <w:r w:rsidRPr="00587E1A">
        <w:rPr>
          <w:lang w:eastAsia="en-AU"/>
        </w:rPr>
        <w:t xml:space="preserve">trend reached crisis levels </w:t>
      </w:r>
      <w:r w:rsidRPr="008C5DD0">
        <w:rPr>
          <w:lang w:eastAsia="en-AU"/>
        </w:rPr>
        <w:t>with overwhelming numbers of NDIS participants appealing Agency decisions</w:t>
      </w:r>
      <w:r w:rsidR="00C53F6C">
        <w:rPr>
          <w:lang w:eastAsia="en-AU"/>
        </w:rPr>
        <w:t xml:space="preserve">. </w:t>
      </w:r>
      <w:r w:rsidR="006D0BB6">
        <w:rPr>
          <w:lang w:eastAsia="en-AU"/>
        </w:rPr>
        <w:t>Th</w:t>
      </w:r>
      <w:r w:rsidR="009D5419">
        <w:rPr>
          <w:lang w:eastAsia="en-AU"/>
        </w:rPr>
        <w:t xml:space="preserve">e increase to AAT appeals </w:t>
      </w:r>
      <w:r w:rsidR="000F137F">
        <w:rPr>
          <w:lang w:eastAsia="en-AU"/>
        </w:rPr>
        <w:t>has been documented by advocacy organisations, including an in</w:t>
      </w:r>
      <w:r w:rsidR="004037E0">
        <w:rPr>
          <w:lang w:eastAsia="en-AU"/>
        </w:rPr>
        <w:t>-d</w:t>
      </w:r>
      <w:r w:rsidR="000F137F">
        <w:rPr>
          <w:lang w:eastAsia="en-AU"/>
        </w:rPr>
        <w:t>epth analysis by Queensland Advocacy for Inclusion</w:t>
      </w:r>
      <w:r w:rsidR="00A95CC5">
        <w:rPr>
          <w:lang w:eastAsia="en-AU"/>
        </w:rPr>
        <w:t xml:space="preserve"> which shows there was a significant increase </w:t>
      </w:r>
      <w:r w:rsidR="00ED12C5">
        <w:rPr>
          <w:lang w:eastAsia="en-AU"/>
        </w:rPr>
        <w:t>to new AAT applications from September 2021.</w:t>
      </w:r>
      <w:r w:rsidR="00ED12C5">
        <w:rPr>
          <w:rStyle w:val="FootnoteReference"/>
          <w:lang w:eastAsia="en-AU"/>
        </w:rPr>
        <w:footnoteReference w:id="24"/>
      </w:r>
    </w:p>
    <w:p w14:paraId="0EEF216D" w14:textId="77777777" w:rsidR="00B55BE6" w:rsidRPr="00D717EF" w:rsidRDefault="00175934" w:rsidP="00175934">
      <w:pPr>
        <w:pStyle w:val="Heading4"/>
        <w:rPr>
          <w:sz w:val="24"/>
        </w:rPr>
      </w:pPr>
      <w:r w:rsidRPr="00D717EF">
        <w:rPr>
          <w:sz w:val="24"/>
        </w:rPr>
        <w:lastRenderedPageBreak/>
        <w:t>Overwhelmed d</w:t>
      </w:r>
      <w:r w:rsidR="00E92A4B" w:rsidRPr="00D717EF">
        <w:rPr>
          <w:sz w:val="24"/>
        </w:rPr>
        <w:t>isability</w:t>
      </w:r>
      <w:r w:rsidR="002D5E07" w:rsidRPr="00D717EF">
        <w:rPr>
          <w:sz w:val="24"/>
        </w:rPr>
        <w:t xml:space="preserve"> advocacy services </w:t>
      </w:r>
      <w:r w:rsidR="000F1307" w:rsidRPr="00D717EF">
        <w:rPr>
          <w:sz w:val="24"/>
        </w:rPr>
        <w:t xml:space="preserve">increasingly </w:t>
      </w:r>
      <w:r w:rsidR="009E38F4" w:rsidRPr="00D717EF">
        <w:rPr>
          <w:sz w:val="24"/>
        </w:rPr>
        <w:t>operating in crisis mode</w:t>
      </w:r>
    </w:p>
    <w:p w14:paraId="06E20255" w14:textId="77777777" w:rsidR="003E2D8F" w:rsidRPr="003E2D8F" w:rsidRDefault="00D717EF" w:rsidP="00037275">
      <w:r w:rsidRPr="009D5CAB">
        <w:rPr>
          <w:lang w:eastAsia="en-AU"/>
        </w:rPr>
        <w:t>Participating o</w:t>
      </w:r>
      <w:r w:rsidR="00175934" w:rsidRPr="009D5CAB">
        <w:rPr>
          <w:lang w:eastAsia="en-AU"/>
        </w:rPr>
        <w:t>rganisations</w:t>
      </w:r>
      <w:r w:rsidR="005855B6" w:rsidRPr="009D5CAB">
        <w:rPr>
          <w:lang w:eastAsia="en-AU"/>
        </w:rPr>
        <w:t xml:space="preserve"> </w:t>
      </w:r>
      <w:r w:rsidR="00175934" w:rsidRPr="009D5CAB">
        <w:rPr>
          <w:lang w:eastAsia="en-AU"/>
        </w:rPr>
        <w:t xml:space="preserve">commented on </w:t>
      </w:r>
      <w:r w:rsidR="005855B6" w:rsidRPr="009D5CAB">
        <w:rPr>
          <w:lang w:eastAsia="en-AU"/>
        </w:rPr>
        <w:t xml:space="preserve">working at full capacity </w:t>
      </w:r>
      <w:r w:rsidR="00175934" w:rsidRPr="009D5CAB">
        <w:rPr>
          <w:lang w:eastAsia="en-AU"/>
        </w:rPr>
        <w:t xml:space="preserve">and needing to make intake </w:t>
      </w:r>
      <w:r w:rsidR="005855B6" w:rsidRPr="009D5CAB">
        <w:rPr>
          <w:lang w:eastAsia="en-AU"/>
        </w:rPr>
        <w:t>decisions based on ‘risk’ or ‘most in need’ or measurement of the ‘crisis’</w:t>
      </w:r>
      <w:r w:rsidR="00175934" w:rsidRPr="009D5CAB">
        <w:rPr>
          <w:lang w:eastAsia="en-AU"/>
        </w:rPr>
        <w:t xml:space="preserve">. </w:t>
      </w:r>
      <w:r w:rsidR="005855B6" w:rsidRPr="009D5CAB">
        <w:rPr>
          <w:lang w:eastAsia="en-AU"/>
        </w:rPr>
        <w:t xml:space="preserve">This </w:t>
      </w:r>
      <w:r w:rsidRPr="009D5CAB">
        <w:rPr>
          <w:lang w:eastAsia="en-AU"/>
        </w:rPr>
        <w:t>reflected</w:t>
      </w:r>
      <w:r w:rsidR="005855B6" w:rsidRPr="009D5CAB">
        <w:rPr>
          <w:lang w:eastAsia="en-AU"/>
        </w:rPr>
        <w:t xml:space="preserve"> a reactive, crisis-</w:t>
      </w:r>
      <w:r w:rsidR="00863677">
        <w:rPr>
          <w:lang w:eastAsia="en-AU"/>
        </w:rPr>
        <w:t>driven</w:t>
      </w:r>
      <w:r w:rsidR="005855B6" w:rsidRPr="009D5CAB">
        <w:rPr>
          <w:lang w:eastAsia="en-AU"/>
        </w:rPr>
        <w:t xml:space="preserve"> </w:t>
      </w:r>
      <w:r w:rsidR="00863677">
        <w:rPr>
          <w:lang w:eastAsia="en-AU"/>
        </w:rPr>
        <w:t xml:space="preserve">model </w:t>
      </w:r>
      <w:r w:rsidR="005855B6" w:rsidRPr="009D5CAB">
        <w:rPr>
          <w:lang w:eastAsia="en-AU"/>
        </w:rPr>
        <w:t xml:space="preserve">of advocacy provision </w:t>
      </w:r>
      <w:r w:rsidR="00175934" w:rsidRPr="009D5CAB">
        <w:rPr>
          <w:lang w:eastAsia="en-AU"/>
        </w:rPr>
        <w:t xml:space="preserve">with </w:t>
      </w:r>
      <w:r w:rsidR="005855B6" w:rsidRPr="009D5CAB">
        <w:rPr>
          <w:lang w:eastAsia="en-AU"/>
        </w:rPr>
        <w:t xml:space="preserve">many people who qualify for advocacy not </w:t>
      </w:r>
      <w:r w:rsidR="00175934" w:rsidRPr="009D5CAB">
        <w:rPr>
          <w:lang w:eastAsia="en-AU"/>
        </w:rPr>
        <w:t>receiving support</w:t>
      </w:r>
      <w:r w:rsidR="005855B6" w:rsidRPr="009D5CAB">
        <w:rPr>
          <w:lang w:eastAsia="en-AU"/>
        </w:rPr>
        <w:t xml:space="preserve"> </w:t>
      </w:r>
      <w:r w:rsidR="00863677">
        <w:rPr>
          <w:lang w:eastAsia="en-AU"/>
        </w:rPr>
        <w:t xml:space="preserve">due to limited capacity </w:t>
      </w:r>
      <w:r w:rsidR="00175934" w:rsidRPr="009D5CAB">
        <w:rPr>
          <w:lang w:eastAsia="en-AU"/>
        </w:rPr>
        <w:t>as demonstrated by the quantitative data</w:t>
      </w:r>
      <w:r w:rsidR="008C5DD0">
        <w:rPr>
          <w:lang w:eastAsia="en-AU"/>
        </w:rPr>
        <w:t>:</w:t>
      </w:r>
    </w:p>
    <w:p w14:paraId="27801F0B" w14:textId="77777777" w:rsidR="009E38F4" w:rsidRPr="007B1691" w:rsidRDefault="005855B6" w:rsidP="00176B81">
      <w:pPr>
        <w:ind w:left="720" w:right="521"/>
        <w:rPr>
          <w:rFonts w:eastAsia="Times New Roman" w:cs="Helvetica"/>
          <w:i/>
          <w:iCs/>
          <w:szCs w:val="22"/>
          <w:lang w:eastAsia="en-AU"/>
        </w:rPr>
      </w:pPr>
      <w:r w:rsidRPr="003E7519">
        <w:rPr>
          <w:i/>
          <w:iCs/>
          <w:szCs w:val="22"/>
        </w:rPr>
        <w:t>“Increased complexity of advocacy requirements - due to gaps and wait times for advocacy and other services and supports those requesting advocacy are more frequently presenting already in crisis which requires more sophisticated and time</w:t>
      </w:r>
      <w:r w:rsidR="00A52D2B">
        <w:rPr>
          <w:i/>
          <w:iCs/>
          <w:szCs w:val="22"/>
        </w:rPr>
        <w:t>-</w:t>
      </w:r>
      <w:r w:rsidRPr="003E7519">
        <w:rPr>
          <w:i/>
          <w:iCs/>
          <w:szCs w:val="22"/>
        </w:rPr>
        <w:t xml:space="preserve"> consuming advocacy response. </w:t>
      </w:r>
      <w:r w:rsidR="00A52D2B">
        <w:rPr>
          <w:i/>
          <w:iCs/>
          <w:szCs w:val="22"/>
        </w:rPr>
        <w:t>T</w:t>
      </w:r>
      <w:r w:rsidRPr="003E7519">
        <w:rPr>
          <w:i/>
          <w:iCs/>
          <w:szCs w:val="22"/>
        </w:rPr>
        <w:t>his then has flow on effects for others waiting for advocacy and contributes to a negative feedback loop</w:t>
      </w:r>
      <w:r w:rsidRPr="003E7519">
        <w:rPr>
          <w:rFonts w:eastAsia="Times New Roman" w:cs="Helvetica"/>
          <w:i/>
          <w:iCs/>
          <w:szCs w:val="22"/>
          <w:lang w:eastAsia="en-AU"/>
        </w:rPr>
        <w:t>.”</w:t>
      </w:r>
      <w:r w:rsidRPr="003E7519">
        <w:rPr>
          <w:rStyle w:val="FootnoteReference"/>
          <w:rFonts w:eastAsia="Times New Roman" w:cs="Helvetica"/>
          <w:i/>
          <w:iCs/>
          <w:szCs w:val="22"/>
          <w:lang w:eastAsia="en-AU"/>
        </w:rPr>
        <w:footnoteReference w:id="25"/>
      </w:r>
    </w:p>
    <w:p w14:paraId="7933AA41" w14:textId="77777777" w:rsidR="008F5538" w:rsidRPr="002B42BC" w:rsidRDefault="008F5538" w:rsidP="00037275">
      <w:pPr>
        <w:rPr>
          <w:lang w:eastAsia="en-AU"/>
        </w:rPr>
      </w:pPr>
      <w:r w:rsidRPr="002B42BC">
        <w:rPr>
          <w:lang w:eastAsia="en-AU"/>
        </w:rPr>
        <w:t xml:space="preserve">Consistently </w:t>
      </w:r>
      <w:r w:rsidR="00175934" w:rsidRPr="002B42BC">
        <w:rPr>
          <w:lang w:eastAsia="en-AU"/>
        </w:rPr>
        <w:t xml:space="preserve">dealing with </w:t>
      </w:r>
      <w:r w:rsidR="002B42BC" w:rsidRPr="002B42BC">
        <w:rPr>
          <w:lang w:eastAsia="en-AU"/>
        </w:rPr>
        <w:t xml:space="preserve">people in </w:t>
      </w:r>
      <w:r w:rsidR="00175934" w:rsidRPr="002B42BC">
        <w:rPr>
          <w:lang w:eastAsia="en-AU"/>
        </w:rPr>
        <w:t xml:space="preserve">crisis </w:t>
      </w:r>
      <w:r w:rsidR="002B42BC" w:rsidRPr="002B42BC">
        <w:rPr>
          <w:lang w:eastAsia="en-AU"/>
        </w:rPr>
        <w:t xml:space="preserve">as a priority meant that advocates did not have the capacity to undertake </w:t>
      </w:r>
      <w:r w:rsidR="002B42BC">
        <w:rPr>
          <w:lang w:eastAsia="en-AU"/>
        </w:rPr>
        <w:t xml:space="preserve">timely </w:t>
      </w:r>
      <w:r w:rsidR="002B42BC" w:rsidRPr="002B42BC">
        <w:rPr>
          <w:lang w:eastAsia="en-AU"/>
        </w:rPr>
        <w:t xml:space="preserve">prevention and early intervention support </w:t>
      </w:r>
      <w:r w:rsidR="00863677">
        <w:rPr>
          <w:lang w:eastAsia="en-AU"/>
        </w:rPr>
        <w:t xml:space="preserve">for people </w:t>
      </w:r>
      <w:r w:rsidR="002B42BC" w:rsidRPr="002B42BC">
        <w:rPr>
          <w:lang w:eastAsia="en-AU"/>
        </w:rPr>
        <w:t xml:space="preserve">to avert </w:t>
      </w:r>
      <w:r w:rsidR="00D717EF">
        <w:rPr>
          <w:lang w:eastAsia="en-AU"/>
        </w:rPr>
        <w:t xml:space="preserve">potential subsequent </w:t>
      </w:r>
      <w:r w:rsidR="002B42BC" w:rsidRPr="002B42BC">
        <w:rPr>
          <w:lang w:eastAsia="en-AU"/>
        </w:rPr>
        <w:t xml:space="preserve">crises. </w:t>
      </w:r>
    </w:p>
    <w:p w14:paraId="4E1787D5" w14:textId="77777777" w:rsidR="007B1691" w:rsidRPr="00D717EF" w:rsidRDefault="007B1691" w:rsidP="002B42BC">
      <w:pPr>
        <w:pStyle w:val="Heading4"/>
        <w:rPr>
          <w:sz w:val="24"/>
        </w:rPr>
      </w:pPr>
      <w:r w:rsidRPr="00D717EF">
        <w:rPr>
          <w:sz w:val="24"/>
        </w:rPr>
        <w:t>The importance of systemic advocacy</w:t>
      </w:r>
    </w:p>
    <w:p w14:paraId="77C2D8E8" w14:textId="52DE7EF4" w:rsidR="007B1691" w:rsidRDefault="002B42BC" w:rsidP="00037275">
      <w:r>
        <w:rPr>
          <w:lang w:eastAsia="en-AU"/>
        </w:rPr>
        <w:t>A</w:t>
      </w:r>
      <w:r w:rsidR="007B1691">
        <w:rPr>
          <w:lang w:eastAsia="en-AU"/>
        </w:rPr>
        <w:t xml:space="preserve">dvocates </w:t>
      </w:r>
      <w:r>
        <w:rPr>
          <w:lang w:eastAsia="en-AU"/>
        </w:rPr>
        <w:t xml:space="preserve">emphasised the importance of </w:t>
      </w:r>
      <w:r w:rsidR="007B1691" w:rsidRPr="00824D61">
        <w:rPr>
          <w:lang w:eastAsia="en-AU"/>
        </w:rPr>
        <w:t>address</w:t>
      </w:r>
      <w:r>
        <w:rPr>
          <w:lang w:eastAsia="en-AU"/>
        </w:rPr>
        <w:t>ing</w:t>
      </w:r>
      <w:r w:rsidR="007B1691" w:rsidRPr="00824D61">
        <w:rPr>
          <w:lang w:eastAsia="en-AU"/>
        </w:rPr>
        <w:t xml:space="preserve"> </w:t>
      </w:r>
      <w:r w:rsidR="007B1691">
        <w:rPr>
          <w:lang w:eastAsia="en-AU"/>
        </w:rPr>
        <w:t xml:space="preserve">the </w:t>
      </w:r>
      <w:r>
        <w:rPr>
          <w:lang w:eastAsia="en-AU"/>
        </w:rPr>
        <w:t>systemic issues</w:t>
      </w:r>
      <w:r w:rsidR="007B1691" w:rsidRPr="00824D61">
        <w:rPr>
          <w:lang w:eastAsia="en-AU"/>
        </w:rPr>
        <w:t xml:space="preserve"> </w:t>
      </w:r>
      <w:r>
        <w:rPr>
          <w:lang w:eastAsia="en-AU"/>
        </w:rPr>
        <w:t>causing</w:t>
      </w:r>
      <w:r w:rsidR="007B1691" w:rsidRPr="00824D61">
        <w:rPr>
          <w:lang w:eastAsia="en-AU"/>
        </w:rPr>
        <w:t xml:space="preserve"> people </w:t>
      </w:r>
      <w:r>
        <w:rPr>
          <w:lang w:eastAsia="en-AU"/>
        </w:rPr>
        <w:t xml:space="preserve">to </w:t>
      </w:r>
      <w:r w:rsidR="007B1691" w:rsidRPr="00824D61">
        <w:rPr>
          <w:lang w:eastAsia="en-AU"/>
        </w:rPr>
        <w:t>seek advocacy</w:t>
      </w:r>
      <w:r>
        <w:rPr>
          <w:lang w:eastAsia="en-AU"/>
        </w:rPr>
        <w:t xml:space="preserve"> </w:t>
      </w:r>
      <w:r w:rsidR="007B1691" w:rsidRPr="00824D61">
        <w:rPr>
          <w:lang w:eastAsia="en-AU"/>
        </w:rPr>
        <w:t xml:space="preserve">– </w:t>
      </w:r>
      <w:r>
        <w:rPr>
          <w:lang w:eastAsia="en-AU"/>
        </w:rPr>
        <w:t xml:space="preserve">and the importance of </w:t>
      </w:r>
      <w:r w:rsidR="007B1691" w:rsidRPr="00824D61">
        <w:rPr>
          <w:lang w:eastAsia="en-AU"/>
        </w:rPr>
        <w:t>mov</w:t>
      </w:r>
      <w:r>
        <w:rPr>
          <w:lang w:eastAsia="en-AU"/>
        </w:rPr>
        <w:t>ing</w:t>
      </w:r>
      <w:r w:rsidR="007B1691" w:rsidRPr="00824D61">
        <w:rPr>
          <w:lang w:eastAsia="en-AU"/>
        </w:rPr>
        <w:t xml:space="preserve"> advocacy to a more preventative model</w:t>
      </w:r>
      <w:r w:rsidR="007B1691">
        <w:rPr>
          <w:lang w:eastAsia="en-AU"/>
        </w:rPr>
        <w:t xml:space="preserve">. </w:t>
      </w:r>
      <w:r>
        <w:rPr>
          <w:lang w:eastAsia="en-AU"/>
        </w:rPr>
        <w:t>However</w:t>
      </w:r>
      <w:r w:rsidR="00F639BB">
        <w:rPr>
          <w:lang w:eastAsia="en-AU"/>
        </w:rPr>
        <w:t>,</w:t>
      </w:r>
      <w:r>
        <w:rPr>
          <w:lang w:eastAsia="en-AU"/>
        </w:rPr>
        <w:t xml:space="preserve"> </w:t>
      </w:r>
      <w:r w:rsidR="007B1691">
        <w:rPr>
          <w:lang w:eastAsia="en-AU"/>
        </w:rPr>
        <w:t xml:space="preserve">organisations cannot </w:t>
      </w:r>
      <w:r>
        <w:rPr>
          <w:lang w:eastAsia="en-AU"/>
        </w:rPr>
        <w:t>allocate</w:t>
      </w:r>
      <w:r w:rsidR="007B1691">
        <w:rPr>
          <w:lang w:eastAsia="en-AU"/>
        </w:rPr>
        <w:t xml:space="preserve"> time </w:t>
      </w:r>
      <w:r w:rsidR="002218A3">
        <w:rPr>
          <w:lang w:eastAsia="en-AU"/>
        </w:rPr>
        <w:t xml:space="preserve">to </w:t>
      </w:r>
      <w:r w:rsidR="007B1691">
        <w:rPr>
          <w:lang w:eastAsia="en-AU"/>
        </w:rPr>
        <w:t>systemic issues at the expense of individual advocacy</w:t>
      </w:r>
      <w:r w:rsidR="002218A3">
        <w:rPr>
          <w:lang w:eastAsia="en-AU"/>
        </w:rPr>
        <w:t>. They</w:t>
      </w:r>
      <w:r w:rsidR="007B1691">
        <w:rPr>
          <w:lang w:eastAsia="en-AU"/>
        </w:rPr>
        <w:t xml:space="preserve"> </w:t>
      </w:r>
      <w:r w:rsidR="00863677">
        <w:rPr>
          <w:lang w:eastAsia="en-AU"/>
        </w:rPr>
        <w:t>stressed</w:t>
      </w:r>
      <w:r>
        <w:rPr>
          <w:lang w:eastAsia="en-AU"/>
        </w:rPr>
        <w:t xml:space="preserve"> the need for increased funding for </w:t>
      </w:r>
      <w:r w:rsidR="007B1691">
        <w:rPr>
          <w:lang w:eastAsia="en-AU"/>
        </w:rPr>
        <w:t>systemic advocacy</w:t>
      </w:r>
      <w:r>
        <w:rPr>
          <w:lang w:eastAsia="en-AU"/>
        </w:rPr>
        <w:t xml:space="preserve">. Concerns were expressed that </w:t>
      </w:r>
      <w:r w:rsidR="007B1691" w:rsidRPr="00A67B8A">
        <w:rPr>
          <w:lang w:eastAsia="en-AU"/>
        </w:rPr>
        <w:t>without sufficient attention to systemic failures, individual advocacy issues will continue to grow, and many will remain unresolved.</w:t>
      </w:r>
    </w:p>
    <w:p w14:paraId="09083704" w14:textId="77777777" w:rsidR="000F1307" w:rsidRPr="009D5CAB" w:rsidRDefault="000F1307" w:rsidP="002B42BC">
      <w:pPr>
        <w:pStyle w:val="Heading4"/>
        <w:rPr>
          <w:sz w:val="24"/>
        </w:rPr>
      </w:pPr>
      <w:r w:rsidRPr="009D5CAB">
        <w:rPr>
          <w:sz w:val="24"/>
        </w:rPr>
        <w:t>Fit-for-purpose intake processes provide greater access to advocacy</w:t>
      </w:r>
    </w:p>
    <w:p w14:paraId="1B335C50" w14:textId="77777777" w:rsidR="00BE7A4C" w:rsidRPr="009D5CAB" w:rsidRDefault="009D5CAB" w:rsidP="00037275">
      <w:pPr>
        <w:rPr>
          <w:lang w:eastAsia="en-AU"/>
        </w:rPr>
      </w:pPr>
      <w:r>
        <w:rPr>
          <w:lang w:eastAsia="en-AU"/>
        </w:rPr>
        <w:t>Participants commented on the need for flexibility and that v</w:t>
      </w:r>
      <w:r w:rsidRPr="009D5CAB">
        <w:rPr>
          <w:lang w:eastAsia="en-AU"/>
        </w:rPr>
        <w:t xml:space="preserve">ariation to intake processes is key to providing equitable access to advocacy. </w:t>
      </w:r>
      <w:r>
        <w:rPr>
          <w:lang w:eastAsia="en-AU"/>
        </w:rPr>
        <w:t>T</w:t>
      </w:r>
      <w:r w:rsidRPr="009D5CAB">
        <w:rPr>
          <w:lang w:eastAsia="en-AU"/>
        </w:rPr>
        <w:t xml:space="preserve">ailored advocacy approaches </w:t>
      </w:r>
      <w:r>
        <w:rPr>
          <w:lang w:eastAsia="en-AU"/>
        </w:rPr>
        <w:t>are</w:t>
      </w:r>
      <w:r w:rsidRPr="009D5CAB">
        <w:rPr>
          <w:lang w:eastAsia="en-AU"/>
        </w:rPr>
        <w:t xml:space="preserve"> needed to increase access and support for identified high</w:t>
      </w:r>
      <w:r w:rsidR="00E70003">
        <w:rPr>
          <w:lang w:eastAsia="en-AU"/>
        </w:rPr>
        <w:t>-</w:t>
      </w:r>
      <w:r w:rsidRPr="009D5CAB">
        <w:rPr>
          <w:lang w:eastAsia="en-AU"/>
        </w:rPr>
        <w:t xml:space="preserve">risk population groups to address their specific needs. </w:t>
      </w:r>
      <w:r>
        <w:rPr>
          <w:lang w:eastAsia="en-AU"/>
        </w:rPr>
        <w:t>This includes o</w:t>
      </w:r>
      <w:r w:rsidR="00BE7A4C" w:rsidRPr="009D5CAB">
        <w:rPr>
          <w:lang w:eastAsia="en-AU"/>
        </w:rPr>
        <w:t xml:space="preserve">utreach to marginalised communities, </w:t>
      </w:r>
      <w:r>
        <w:rPr>
          <w:lang w:eastAsia="en-AU"/>
        </w:rPr>
        <w:t xml:space="preserve">to </w:t>
      </w:r>
      <w:r w:rsidR="00BE7A4C" w:rsidRPr="009D5CAB">
        <w:rPr>
          <w:lang w:eastAsia="en-AU"/>
        </w:rPr>
        <w:t>provide education and information about rights, information to self-advocate (</w:t>
      </w:r>
      <w:r>
        <w:rPr>
          <w:lang w:eastAsia="en-AU"/>
        </w:rPr>
        <w:t xml:space="preserve">enabling </w:t>
      </w:r>
      <w:r w:rsidR="00BE7A4C" w:rsidRPr="009D5CAB">
        <w:rPr>
          <w:lang w:eastAsia="en-AU"/>
        </w:rPr>
        <w:t xml:space="preserve">a systemic solution </w:t>
      </w:r>
      <w:r>
        <w:rPr>
          <w:lang w:eastAsia="en-AU"/>
        </w:rPr>
        <w:t xml:space="preserve">to </w:t>
      </w:r>
      <w:r w:rsidR="00BE7A4C" w:rsidRPr="009D5CAB">
        <w:rPr>
          <w:lang w:eastAsia="en-AU"/>
        </w:rPr>
        <w:t xml:space="preserve">addressing demand – if people know where they can go for information, they may be able to self-advocate). </w:t>
      </w:r>
      <w:r>
        <w:rPr>
          <w:lang w:eastAsia="en-AU"/>
        </w:rPr>
        <w:t>While acknowledging that o</w:t>
      </w:r>
      <w:r w:rsidR="00BE7A4C" w:rsidRPr="009D5CAB">
        <w:rPr>
          <w:lang w:eastAsia="en-AU"/>
        </w:rPr>
        <w:t xml:space="preserve">utreach generates demand, it also provides tools and information to communities to self-advocate. </w:t>
      </w:r>
    </w:p>
    <w:p w14:paraId="1C6923F5" w14:textId="77777777" w:rsidR="00CC4470" w:rsidRDefault="00BE7A4C" w:rsidP="00037275">
      <w:r w:rsidRPr="00333487">
        <w:t xml:space="preserve">Advocacy organisations need to be able to remain </w:t>
      </w:r>
      <w:r w:rsidR="001F141D">
        <w:t xml:space="preserve">flexible and responsive </w:t>
      </w:r>
      <w:r w:rsidRPr="00333487">
        <w:t>so they can adapt to changes on the ground</w:t>
      </w:r>
      <w:r w:rsidR="00E70003">
        <w:t>,</w:t>
      </w:r>
      <w:r w:rsidR="009D5CAB">
        <w:t xml:space="preserve"> including</w:t>
      </w:r>
      <w:r w:rsidRPr="00333487">
        <w:t xml:space="preserve"> impacts from </w:t>
      </w:r>
      <w:r w:rsidR="009D5CAB">
        <w:t xml:space="preserve">government </w:t>
      </w:r>
      <w:r w:rsidRPr="00333487">
        <w:t>systemic and policy changes</w:t>
      </w:r>
      <w:r w:rsidR="009D5CAB">
        <w:t xml:space="preserve"> and also </w:t>
      </w:r>
      <w:r w:rsidR="00863677">
        <w:t xml:space="preserve">respond to </w:t>
      </w:r>
      <w:r w:rsidR="009D5CAB">
        <w:t xml:space="preserve">local issues </w:t>
      </w:r>
      <w:r w:rsidR="00863677">
        <w:t>such as</w:t>
      </w:r>
      <w:r w:rsidR="009D5CAB">
        <w:t xml:space="preserve"> </w:t>
      </w:r>
      <w:r w:rsidR="009D5CAB" w:rsidRPr="00333487">
        <w:t>bushfire or flood</w:t>
      </w:r>
      <w:r w:rsidR="009D5CAB">
        <w:t xml:space="preserve"> </w:t>
      </w:r>
      <w:r w:rsidRPr="00333487">
        <w:t>disaster</w:t>
      </w:r>
      <w:r w:rsidR="009D5CAB">
        <w:t>s.</w:t>
      </w:r>
      <w:r w:rsidRPr="00333487">
        <w:t xml:space="preserve"> </w:t>
      </w:r>
    </w:p>
    <w:p w14:paraId="08953F01" w14:textId="77777777" w:rsidR="00173DF3" w:rsidRPr="00525596" w:rsidRDefault="00173DF3" w:rsidP="00525596">
      <w:pPr>
        <w:pStyle w:val="Heading1"/>
      </w:pPr>
      <w:bookmarkStart w:id="56" w:name="_Toc149667980"/>
      <w:r w:rsidRPr="00525596">
        <w:t>Discussion</w:t>
      </w:r>
      <w:bookmarkEnd w:id="56"/>
    </w:p>
    <w:p w14:paraId="60FD744E" w14:textId="77777777" w:rsidR="00F90AFB" w:rsidRDefault="00226B99" w:rsidP="00037275">
      <w:pPr>
        <w:rPr>
          <w:lang w:eastAsia="en-AU"/>
        </w:rPr>
      </w:pPr>
      <w:r>
        <w:rPr>
          <w:lang w:eastAsia="en-AU"/>
        </w:rPr>
        <w:t xml:space="preserve">The Intake Project findings drew on data from </w:t>
      </w:r>
      <w:r w:rsidR="00F75B3E">
        <w:rPr>
          <w:lang w:eastAsia="en-AU"/>
        </w:rPr>
        <w:t>half</w:t>
      </w:r>
      <w:r>
        <w:rPr>
          <w:lang w:eastAsia="en-AU"/>
        </w:rPr>
        <w:t xml:space="preserve"> of the disability advocacy sector nationally including a broadly representative sample of participating organisations</w:t>
      </w:r>
      <w:r w:rsidR="00863677">
        <w:rPr>
          <w:lang w:eastAsia="en-AU"/>
        </w:rPr>
        <w:t xml:space="preserve"> across all states and territories</w:t>
      </w:r>
      <w:r>
        <w:rPr>
          <w:lang w:eastAsia="en-AU"/>
        </w:rPr>
        <w:t>. Trends in the quantitative data for the period September 2021</w:t>
      </w:r>
      <w:r w:rsidR="003D626E">
        <w:rPr>
          <w:lang w:eastAsia="en-AU"/>
        </w:rPr>
        <w:t xml:space="preserve"> to </w:t>
      </w:r>
      <w:r>
        <w:rPr>
          <w:lang w:eastAsia="en-AU"/>
        </w:rPr>
        <w:t xml:space="preserve">February 2022 confirmed the anecdotal reports of significantly increased demand for advocacy support and concerning levels of unmet demand across all funding streams. </w:t>
      </w:r>
    </w:p>
    <w:p w14:paraId="609ECA66" w14:textId="6F2E5EF3" w:rsidR="00863677" w:rsidRDefault="00863677" w:rsidP="00037275">
      <w:pPr>
        <w:rPr>
          <w:lang w:eastAsia="en-AU"/>
        </w:rPr>
      </w:pPr>
      <w:r>
        <w:rPr>
          <w:lang w:eastAsia="en-AU"/>
        </w:rPr>
        <w:lastRenderedPageBreak/>
        <w:t xml:space="preserve">The project also found that due to DEX and other </w:t>
      </w:r>
      <w:r w:rsidRPr="002A2F75">
        <w:rPr>
          <w:lang w:eastAsia="en-AU"/>
        </w:rPr>
        <w:t xml:space="preserve">reporting system </w:t>
      </w:r>
      <w:r>
        <w:rPr>
          <w:lang w:eastAsia="en-AU"/>
        </w:rPr>
        <w:t>limitations there was likely to be considerable under-estimation of the level of demand for advocacy. For instance</w:t>
      </w:r>
      <w:r w:rsidR="00E70003">
        <w:rPr>
          <w:lang w:eastAsia="en-AU"/>
        </w:rPr>
        <w:t>,</w:t>
      </w:r>
      <w:r>
        <w:rPr>
          <w:lang w:eastAsia="en-AU"/>
        </w:rPr>
        <w:t xml:space="preserve"> there was highly variable</w:t>
      </w:r>
      <w:r w:rsidR="003D626E">
        <w:rPr>
          <w:lang w:eastAsia="en-AU"/>
        </w:rPr>
        <w:t xml:space="preserve"> </w:t>
      </w:r>
      <w:r>
        <w:rPr>
          <w:lang w:eastAsia="en-AU"/>
        </w:rPr>
        <w:t>maintenance of waiting list data by different organisations. Also</w:t>
      </w:r>
      <w:r w:rsidR="00705C2F">
        <w:rPr>
          <w:lang w:eastAsia="en-AU"/>
        </w:rPr>
        <w:t>,</w:t>
      </w:r>
      <w:r>
        <w:rPr>
          <w:lang w:eastAsia="en-AU"/>
        </w:rPr>
        <w:t xml:space="preserve"> the sheer volume of work that advocacy organisations do in striving to serve the requests for support they receive is not adequately captured in current data reporting systems. </w:t>
      </w:r>
    </w:p>
    <w:p w14:paraId="46C79E5F" w14:textId="5B7A9809" w:rsidR="00863677" w:rsidRPr="00C15B0B" w:rsidRDefault="00F41086" w:rsidP="00037275">
      <w:pPr>
        <w:rPr>
          <w:lang w:eastAsia="en-AU"/>
        </w:rPr>
      </w:pPr>
      <w:r>
        <w:rPr>
          <w:lang w:eastAsia="en-AU"/>
        </w:rPr>
        <w:t>Th</w:t>
      </w:r>
      <w:r w:rsidR="00863677">
        <w:rPr>
          <w:lang w:eastAsia="en-AU"/>
        </w:rPr>
        <w:t>e</w:t>
      </w:r>
      <w:r>
        <w:rPr>
          <w:lang w:eastAsia="en-AU"/>
        </w:rPr>
        <w:t xml:space="preserve"> </w:t>
      </w:r>
      <w:r w:rsidR="00863677">
        <w:rPr>
          <w:lang w:eastAsia="en-AU"/>
        </w:rPr>
        <w:t xml:space="preserve">constant </w:t>
      </w:r>
      <w:r>
        <w:rPr>
          <w:lang w:eastAsia="en-AU"/>
        </w:rPr>
        <w:t xml:space="preserve">increase </w:t>
      </w:r>
      <w:r w:rsidR="00863677">
        <w:rPr>
          <w:lang w:eastAsia="en-AU"/>
        </w:rPr>
        <w:t xml:space="preserve">in demand </w:t>
      </w:r>
      <w:r>
        <w:rPr>
          <w:lang w:eastAsia="en-AU"/>
        </w:rPr>
        <w:t xml:space="preserve">was observed by advocates </w:t>
      </w:r>
      <w:r w:rsidR="002A2F75">
        <w:rPr>
          <w:lang w:eastAsia="en-AU"/>
        </w:rPr>
        <w:t xml:space="preserve">to have occurred </w:t>
      </w:r>
      <w:r>
        <w:rPr>
          <w:lang w:eastAsia="en-AU"/>
        </w:rPr>
        <w:t>since the introduction of the NDIS</w:t>
      </w:r>
      <w:r w:rsidR="003E132B">
        <w:rPr>
          <w:lang w:eastAsia="en-AU"/>
        </w:rPr>
        <w:t>,</w:t>
      </w:r>
      <w:r>
        <w:rPr>
          <w:lang w:eastAsia="en-AU"/>
        </w:rPr>
        <w:t xml:space="preserve"> which has also reportedly resulted in increased complexity of advocacy issues, and particular strains </w:t>
      </w:r>
      <w:r w:rsidR="002A2F75">
        <w:rPr>
          <w:lang w:eastAsia="en-AU"/>
        </w:rPr>
        <w:t>on</w:t>
      </w:r>
      <w:r>
        <w:rPr>
          <w:lang w:eastAsia="en-AU"/>
        </w:rPr>
        <w:t xml:space="preserve"> the NDIS Appeals </w:t>
      </w:r>
      <w:r w:rsidR="00D91E5A">
        <w:rPr>
          <w:lang w:eastAsia="en-AU"/>
        </w:rPr>
        <w:t>Program</w:t>
      </w:r>
      <w:r>
        <w:rPr>
          <w:lang w:eastAsia="en-AU"/>
        </w:rPr>
        <w:t xml:space="preserve">. </w:t>
      </w:r>
      <w:r w:rsidR="00863677">
        <w:rPr>
          <w:lang w:eastAsia="en-AU"/>
        </w:rPr>
        <w:t>It was observed that t</w:t>
      </w:r>
      <w:r w:rsidR="00863677" w:rsidRPr="00587E1A">
        <w:rPr>
          <w:lang w:eastAsia="en-AU"/>
        </w:rPr>
        <w:t xml:space="preserve">he </w:t>
      </w:r>
      <w:r w:rsidR="00C73D14">
        <w:rPr>
          <w:lang w:eastAsia="en-AU"/>
        </w:rPr>
        <w:t>move</w:t>
      </w:r>
      <w:r w:rsidR="00EE68FC">
        <w:rPr>
          <w:lang w:eastAsia="en-AU"/>
        </w:rPr>
        <w:t xml:space="preserve"> away</w:t>
      </w:r>
      <w:r w:rsidR="00C73D14">
        <w:rPr>
          <w:lang w:eastAsia="en-AU"/>
        </w:rPr>
        <w:t xml:space="preserve"> from</w:t>
      </w:r>
      <w:r w:rsidR="00863677" w:rsidRPr="00587E1A">
        <w:rPr>
          <w:lang w:eastAsia="en-AU"/>
        </w:rPr>
        <w:t xml:space="preserve"> case management that existed in the previous</w:t>
      </w:r>
      <w:r w:rsidR="00863677" w:rsidRPr="003E3036">
        <w:rPr>
          <w:lang w:eastAsia="en-AU"/>
        </w:rPr>
        <w:t xml:space="preserve"> block-funded system</w:t>
      </w:r>
      <w:r w:rsidR="00863677">
        <w:rPr>
          <w:lang w:eastAsia="en-AU"/>
        </w:rPr>
        <w:t xml:space="preserve"> was a major contributing factor together with limited support coordination in NDIS plans</w:t>
      </w:r>
      <w:r w:rsidR="00863677" w:rsidRPr="003E3036">
        <w:rPr>
          <w:lang w:eastAsia="en-AU"/>
        </w:rPr>
        <w:t>.</w:t>
      </w:r>
      <w:r w:rsidR="00863677">
        <w:rPr>
          <w:lang w:eastAsia="en-AU"/>
        </w:rPr>
        <w:t xml:space="preserve"> </w:t>
      </w:r>
    </w:p>
    <w:p w14:paraId="4AF89880" w14:textId="02AB5BBA" w:rsidR="002A2F75" w:rsidRDefault="00846780" w:rsidP="00037275">
      <w:pPr>
        <w:rPr>
          <w:lang w:eastAsia="en-AU"/>
        </w:rPr>
      </w:pPr>
      <w:r>
        <w:rPr>
          <w:lang w:eastAsia="en-AU"/>
        </w:rPr>
        <w:t xml:space="preserve">With constrained capacity and </w:t>
      </w:r>
      <w:r w:rsidRPr="00846780">
        <w:rPr>
          <w:lang w:eastAsia="en-AU"/>
        </w:rPr>
        <w:t>additional strains created by COVID-19</w:t>
      </w:r>
      <w:r>
        <w:rPr>
          <w:lang w:eastAsia="en-AU"/>
        </w:rPr>
        <w:t xml:space="preserve">, </w:t>
      </w:r>
      <w:r w:rsidRPr="00846780">
        <w:rPr>
          <w:lang w:eastAsia="en-AU"/>
        </w:rPr>
        <w:t xml:space="preserve">high demand on the NDIS Appeals </w:t>
      </w:r>
      <w:r w:rsidR="00D91E5A">
        <w:rPr>
          <w:lang w:eastAsia="en-AU"/>
        </w:rPr>
        <w:t xml:space="preserve">Program </w:t>
      </w:r>
      <w:r w:rsidRPr="00846780">
        <w:rPr>
          <w:lang w:eastAsia="en-AU"/>
        </w:rPr>
        <w:t>and other emergencies</w:t>
      </w:r>
      <w:r>
        <w:rPr>
          <w:lang w:eastAsia="en-AU"/>
        </w:rPr>
        <w:t xml:space="preserve"> (including local natural disasters)</w:t>
      </w:r>
      <w:r w:rsidRPr="00846780">
        <w:rPr>
          <w:lang w:eastAsia="en-AU"/>
        </w:rPr>
        <w:t>, organisations adopted risk assessment processes to ensure that those</w:t>
      </w:r>
      <w:r>
        <w:rPr>
          <w:lang w:eastAsia="en-AU"/>
        </w:rPr>
        <w:t xml:space="preserve"> people in crisis or at highest risk were being prioritised. </w:t>
      </w:r>
      <w:r w:rsidR="00863677">
        <w:rPr>
          <w:lang w:eastAsia="en-AU"/>
        </w:rPr>
        <w:t>The high levels of unmet demand for eligible clients due to insufficient capacity means that many people with disability were missing out on the support they need to uphold their rights. Constrained capacity was also</w:t>
      </w:r>
      <w:r w:rsidRPr="00846780">
        <w:rPr>
          <w:lang w:eastAsia="en-AU"/>
        </w:rPr>
        <w:t xml:space="preserve"> at the expense of preventative and developmental work of rights education and awareness raising, capacity building, early stage problem-solving</w:t>
      </w:r>
      <w:r w:rsidR="003D626E">
        <w:rPr>
          <w:lang w:eastAsia="en-AU"/>
        </w:rPr>
        <w:t>,</w:t>
      </w:r>
      <w:r w:rsidRPr="00846780">
        <w:rPr>
          <w:lang w:eastAsia="en-AU"/>
        </w:rPr>
        <w:t xml:space="preserve"> and dispute resolution</w:t>
      </w:r>
      <w:r>
        <w:rPr>
          <w:lang w:eastAsia="en-AU"/>
        </w:rPr>
        <w:t xml:space="preserve"> to resolve issues early and avoid escalation into crises. </w:t>
      </w:r>
    </w:p>
    <w:p w14:paraId="3DFF4117" w14:textId="77777777" w:rsidR="00226B99" w:rsidRDefault="00846780" w:rsidP="00037275">
      <w:pPr>
        <w:rPr>
          <w:lang w:eastAsia="en-AU"/>
        </w:rPr>
      </w:pPr>
      <w:r>
        <w:rPr>
          <w:lang w:eastAsia="en-AU"/>
        </w:rPr>
        <w:t xml:space="preserve">Qualitative data confirmed that </w:t>
      </w:r>
      <w:r w:rsidR="00863677">
        <w:rPr>
          <w:lang w:eastAsia="en-AU"/>
        </w:rPr>
        <w:t>s</w:t>
      </w:r>
      <w:r w:rsidR="00303597">
        <w:rPr>
          <w:lang w:eastAsia="en-AU"/>
        </w:rPr>
        <w:t xml:space="preserve">taff in disability advocacy </w:t>
      </w:r>
      <w:r>
        <w:rPr>
          <w:lang w:eastAsia="en-AU"/>
        </w:rPr>
        <w:t xml:space="preserve">organisations </w:t>
      </w:r>
      <w:r w:rsidR="00587E1A">
        <w:rPr>
          <w:lang w:eastAsia="en-AU"/>
        </w:rPr>
        <w:t>were</w:t>
      </w:r>
      <w:r>
        <w:rPr>
          <w:lang w:eastAsia="en-AU"/>
        </w:rPr>
        <w:t xml:space="preserve"> overwhelmed by the challenges of meeting the increased demand and </w:t>
      </w:r>
      <w:r w:rsidR="00587E1A">
        <w:rPr>
          <w:lang w:eastAsia="en-AU"/>
        </w:rPr>
        <w:t xml:space="preserve">dealing with </w:t>
      </w:r>
      <w:r>
        <w:rPr>
          <w:lang w:eastAsia="en-AU"/>
        </w:rPr>
        <w:t xml:space="preserve">the impact of increased complexity of cases </w:t>
      </w:r>
      <w:r w:rsidR="00587E1A">
        <w:rPr>
          <w:lang w:eastAsia="en-AU"/>
        </w:rPr>
        <w:t xml:space="preserve">– resulting in </w:t>
      </w:r>
      <w:r>
        <w:rPr>
          <w:lang w:eastAsia="en-AU"/>
        </w:rPr>
        <w:t xml:space="preserve">staff burnout. Undertaking the necessary work to respond to </w:t>
      </w:r>
      <w:r w:rsidR="00587E1A">
        <w:rPr>
          <w:lang w:eastAsia="en-AU"/>
        </w:rPr>
        <w:t xml:space="preserve">a spectrum of requests (information provision, referrals, third party enquiries) without funded capacity and inability to address identified systemic issues created additional strains. </w:t>
      </w:r>
    </w:p>
    <w:p w14:paraId="0470D9FD" w14:textId="77777777" w:rsidR="00587E1A" w:rsidRDefault="00587E1A" w:rsidP="00037275">
      <w:pPr>
        <w:rPr>
          <w:lang w:eastAsia="en-AU"/>
        </w:rPr>
      </w:pPr>
      <w:r>
        <w:rPr>
          <w:lang w:eastAsia="en-AU"/>
        </w:rPr>
        <w:t>At current funding levels across all funding streams, organisations simply do not have the staffing capacity to address the unmet demand that people with disability have for advocacy support.</w:t>
      </w:r>
    </w:p>
    <w:p w14:paraId="78676F16" w14:textId="6DC4D961" w:rsidR="001A4C84" w:rsidRPr="001A4C84" w:rsidRDefault="001A4C84" w:rsidP="00037275">
      <w:pPr>
        <w:rPr>
          <w:b/>
          <w:bCs/>
          <w:lang w:eastAsia="en-AU"/>
        </w:rPr>
      </w:pPr>
      <w:r>
        <w:rPr>
          <w:lang w:eastAsia="en-AU"/>
        </w:rPr>
        <w:t xml:space="preserve">The </w:t>
      </w:r>
      <w:r w:rsidRPr="00251417">
        <w:rPr>
          <w:i/>
          <w:iCs/>
          <w:lang w:eastAsia="en-AU"/>
        </w:rPr>
        <w:t>Intake Reference Guide</w:t>
      </w:r>
      <w:r>
        <w:rPr>
          <w:lang w:eastAsia="en-AU"/>
        </w:rPr>
        <w:t xml:space="preserve"> will be a welcome</w:t>
      </w:r>
      <w:r w:rsidR="00251417">
        <w:rPr>
          <w:lang w:eastAsia="en-AU"/>
        </w:rPr>
        <w:t>d</w:t>
      </w:r>
      <w:r>
        <w:rPr>
          <w:lang w:eastAsia="en-AU"/>
        </w:rPr>
        <w:t xml:space="preserve"> resource for disability advocacy organisations and benefited </w:t>
      </w:r>
      <w:r w:rsidR="00303597">
        <w:rPr>
          <w:lang w:eastAsia="en-AU"/>
        </w:rPr>
        <w:t xml:space="preserve">greatly </w:t>
      </w:r>
      <w:r>
        <w:rPr>
          <w:lang w:eastAsia="en-AU"/>
        </w:rPr>
        <w:t>from the co</w:t>
      </w:r>
      <w:r w:rsidR="00E70003">
        <w:rPr>
          <w:lang w:eastAsia="en-AU"/>
        </w:rPr>
        <w:t>-</w:t>
      </w:r>
      <w:r>
        <w:rPr>
          <w:lang w:eastAsia="en-AU"/>
        </w:rPr>
        <w:t xml:space="preserve">design process used in its development.  Participating </w:t>
      </w:r>
      <w:r w:rsidRPr="00587E1A">
        <w:rPr>
          <w:lang w:eastAsia="en-AU"/>
        </w:rPr>
        <w:t>organisations</w:t>
      </w:r>
      <w:r w:rsidRPr="00FC23BA">
        <w:rPr>
          <w:lang w:eastAsia="en-AU"/>
        </w:rPr>
        <w:t xml:space="preserve"> reported </w:t>
      </w:r>
      <w:r>
        <w:rPr>
          <w:lang w:eastAsia="en-AU"/>
        </w:rPr>
        <w:t xml:space="preserve">on the value of being </w:t>
      </w:r>
      <w:r w:rsidRPr="00FC23BA">
        <w:rPr>
          <w:lang w:eastAsia="en-AU"/>
        </w:rPr>
        <w:t xml:space="preserve">given the time and space to engage with colleagues from other organisations </w:t>
      </w:r>
      <w:r>
        <w:rPr>
          <w:lang w:eastAsia="en-AU"/>
        </w:rPr>
        <w:t xml:space="preserve">during the project discussion forums </w:t>
      </w:r>
      <w:r w:rsidRPr="00FC23BA">
        <w:rPr>
          <w:lang w:eastAsia="en-AU"/>
        </w:rPr>
        <w:t>to discuss the processes they use, and their effectiveness.</w:t>
      </w:r>
    </w:p>
    <w:p w14:paraId="331D9754" w14:textId="77777777" w:rsidR="004537F6" w:rsidRPr="00525596" w:rsidRDefault="003B65BF" w:rsidP="00525596">
      <w:pPr>
        <w:pStyle w:val="Heading1"/>
      </w:pPr>
      <w:bookmarkStart w:id="57" w:name="_Toc149667981"/>
      <w:r w:rsidRPr="00525596">
        <w:t>Conclusion</w:t>
      </w:r>
      <w:bookmarkEnd w:id="57"/>
    </w:p>
    <w:p w14:paraId="11434091" w14:textId="28676B96" w:rsidR="007654BE" w:rsidRPr="00587E1A" w:rsidRDefault="00587E1A" w:rsidP="00D2119E">
      <w:r>
        <w:t xml:space="preserve">The Intake </w:t>
      </w:r>
      <w:r w:rsidRPr="00587E1A">
        <w:t xml:space="preserve">Project provides valuable baseline data regarding national demand for disability advocacy </w:t>
      </w:r>
      <w:r w:rsidR="00251417" w:rsidRPr="00587E1A">
        <w:t>support and</w:t>
      </w:r>
      <w:r w:rsidR="001A4C84">
        <w:t xml:space="preserve"> confirms </w:t>
      </w:r>
      <w:r w:rsidRPr="00587E1A">
        <w:t xml:space="preserve">increasing rates of unmet demand </w:t>
      </w:r>
      <w:r w:rsidR="001A4C84">
        <w:t>over time in</w:t>
      </w:r>
      <w:r w:rsidRPr="00587E1A">
        <w:t xml:space="preserve"> a sector struggling to meet </w:t>
      </w:r>
      <w:r w:rsidR="001A4C84">
        <w:t xml:space="preserve">the </w:t>
      </w:r>
      <w:r w:rsidRPr="00587E1A">
        <w:t>need</w:t>
      </w:r>
      <w:r w:rsidR="001A4C84">
        <w:t xml:space="preserve"> with existing funding and organisational capacity</w:t>
      </w:r>
      <w:r w:rsidRPr="00587E1A">
        <w:t xml:space="preserve">. </w:t>
      </w:r>
      <w:r w:rsidR="00303597" w:rsidRPr="00C15B0B">
        <w:rPr>
          <w:lang w:eastAsia="en-AU"/>
        </w:rPr>
        <w:t>Without additional and targe</w:t>
      </w:r>
      <w:r w:rsidR="00303597">
        <w:rPr>
          <w:lang w:eastAsia="en-AU"/>
        </w:rPr>
        <w:t>ted</w:t>
      </w:r>
      <w:r w:rsidR="00303597" w:rsidRPr="00C15B0B">
        <w:rPr>
          <w:lang w:eastAsia="en-AU"/>
        </w:rPr>
        <w:t xml:space="preserve"> funding to support NDIS related issues, people with disability will continue to be excluded from the very system designed to ensure they are included and able to participate socially and economically.</w:t>
      </w:r>
      <w:r w:rsidR="00303597">
        <w:rPr>
          <w:lang w:eastAsia="en-AU"/>
        </w:rPr>
        <w:t xml:space="preserve"> Designated funds are needed to ensure e</w:t>
      </w:r>
      <w:r w:rsidR="00303597" w:rsidRPr="009D5CAB">
        <w:rPr>
          <w:lang w:eastAsia="en-AU"/>
        </w:rPr>
        <w:t>quitable access and support for high</w:t>
      </w:r>
      <w:r w:rsidR="00A52D2B">
        <w:rPr>
          <w:lang w:eastAsia="en-AU"/>
        </w:rPr>
        <w:t>-</w:t>
      </w:r>
      <w:r w:rsidR="00303597" w:rsidRPr="009D5CAB">
        <w:rPr>
          <w:lang w:eastAsia="en-AU"/>
        </w:rPr>
        <w:t xml:space="preserve">risk groups </w:t>
      </w:r>
      <w:r w:rsidR="00303597">
        <w:rPr>
          <w:lang w:eastAsia="en-AU"/>
        </w:rPr>
        <w:t xml:space="preserve">- </w:t>
      </w:r>
      <w:r w:rsidR="00303597" w:rsidRPr="009D5CAB">
        <w:rPr>
          <w:lang w:eastAsia="en-AU"/>
        </w:rPr>
        <w:t xml:space="preserve">their specific needs will not be achieved without </w:t>
      </w:r>
      <w:r w:rsidR="00303597" w:rsidRPr="001A4C84">
        <w:rPr>
          <w:lang w:eastAsia="en-AU"/>
        </w:rPr>
        <w:t>this</w:t>
      </w:r>
      <w:r w:rsidR="00303597" w:rsidRPr="001A4C84">
        <w:t>.</w:t>
      </w:r>
      <w:r w:rsidR="00303597" w:rsidRPr="00FC23BA">
        <w:t xml:space="preserve"> </w:t>
      </w:r>
    </w:p>
    <w:p w14:paraId="5C10C65A" w14:textId="31D21A65" w:rsidR="00587E1A" w:rsidRPr="00251417" w:rsidRDefault="00303597" w:rsidP="00D2119E">
      <w:pPr>
        <w:rPr>
          <w:i/>
          <w:iCs/>
        </w:rPr>
      </w:pPr>
      <w:r w:rsidRPr="00587E1A">
        <w:t>The project found an adaptable and agile sector open to changes and improvements in advocacy services so that the sector can provide advocacy to more people with disability.</w:t>
      </w:r>
      <w:r>
        <w:t xml:space="preserve"> </w:t>
      </w:r>
      <w:r w:rsidR="001A4C84" w:rsidRPr="00696D22">
        <w:t xml:space="preserve">The sector would benefit from government support </w:t>
      </w:r>
      <w:r>
        <w:t xml:space="preserve">to </w:t>
      </w:r>
      <w:r w:rsidR="001A4C84" w:rsidRPr="00696D22">
        <w:t>investigate</w:t>
      </w:r>
      <w:r>
        <w:t xml:space="preserve"> and support </w:t>
      </w:r>
      <w:r>
        <w:lastRenderedPageBreak/>
        <w:t>implementation of</w:t>
      </w:r>
      <w:r w:rsidR="001A4C84" w:rsidRPr="00696D22">
        <w:t xml:space="preserve"> different methods to manage increasing demand. One suggestion by advocates is that NDIS </w:t>
      </w:r>
      <w:r w:rsidR="00D91E5A">
        <w:t>a</w:t>
      </w:r>
      <w:r w:rsidR="001A4C84" w:rsidRPr="00696D22">
        <w:t>ppeals be</w:t>
      </w:r>
      <w:r>
        <w:t>come</w:t>
      </w:r>
      <w:r w:rsidR="001A4C84" w:rsidRPr="00696D22">
        <w:t xml:space="preserve"> a specialised area as experience is needed to support </w:t>
      </w:r>
      <w:r w:rsidR="00D91E5A">
        <w:t>a</w:t>
      </w:r>
      <w:r w:rsidR="001A4C84" w:rsidRPr="00696D22">
        <w:t>ppeals and other NDIS issues. Additionally, the role of the N</w:t>
      </w:r>
      <w:r w:rsidR="001A4C84">
        <w:t>ational Centre for Disability Advocacy</w:t>
      </w:r>
      <w:r w:rsidR="00E04E04">
        <w:t xml:space="preserve"> (NCDA)</w:t>
      </w:r>
      <w:r w:rsidR="001A4C84">
        <w:t xml:space="preserve"> </w:t>
      </w:r>
      <w:r w:rsidR="001A4C84" w:rsidRPr="00696D22">
        <w:t xml:space="preserve">is well placed to provide ongoing monitoring of unmet demand and support to the sector through resources and guides, the first being the </w:t>
      </w:r>
      <w:r w:rsidR="001A4C84" w:rsidRPr="00251417">
        <w:rPr>
          <w:i/>
          <w:iCs/>
        </w:rPr>
        <w:t xml:space="preserve">Intake Reference Guide. </w:t>
      </w:r>
    </w:p>
    <w:p w14:paraId="0A965612" w14:textId="3B374563" w:rsidR="00612DA4" w:rsidRDefault="001A4C84" w:rsidP="00D2119E">
      <w:r>
        <w:t xml:space="preserve">This project was undertaken at a particular </w:t>
      </w:r>
      <w:r w:rsidR="00DC55F0">
        <w:t>period</w:t>
      </w:r>
      <w:r>
        <w:t xml:space="preserve"> </w:t>
      </w:r>
      <w:r w:rsidR="00612DA4">
        <w:t>(September 2021</w:t>
      </w:r>
      <w:r w:rsidR="00176B81">
        <w:t xml:space="preserve"> </w:t>
      </w:r>
      <w:r w:rsidR="00612DA4">
        <w:t xml:space="preserve">- February 2022) </w:t>
      </w:r>
      <w:r>
        <w:t xml:space="preserve">where the </w:t>
      </w:r>
      <w:r w:rsidR="00612DA4">
        <w:t xml:space="preserve">ongoing </w:t>
      </w:r>
      <w:r>
        <w:t xml:space="preserve">impacts of the </w:t>
      </w:r>
      <w:r w:rsidR="00F639BB">
        <w:t>COVID-19</w:t>
      </w:r>
      <w:r>
        <w:t xml:space="preserve"> pandemic</w:t>
      </w:r>
      <w:r w:rsidR="00612DA4">
        <w:t>,</w:t>
      </w:r>
      <w:r>
        <w:t xml:space="preserve"> the D</w:t>
      </w:r>
      <w:r w:rsidR="00251417">
        <w:t xml:space="preserve">isability </w:t>
      </w:r>
      <w:r>
        <w:t>R</w:t>
      </w:r>
      <w:r w:rsidR="00251417">
        <w:t xml:space="preserve">oyal </w:t>
      </w:r>
      <w:r>
        <w:t>C</w:t>
      </w:r>
      <w:r w:rsidR="00251417">
        <w:t>ommission</w:t>
      </w:r>
      <w:r>
        <w:t xml:space="preserve"> </w:t>
      </w:r>
      <w:r w:rsidR="00612DA4">
        <w:t>and possible seasonal fluctuations were likely influencing factors</w:t>
      </w:r>
      <w:r>
        <w:t xml:space="preserve">. </w:t>
      </w:r>
      <w:r w:rsidR="00E42643">
        <w:t>The</w:t>
      </w:r>
      <w:r w:rsidR="00E96451">
        <w:t xml:space="preserve"> findings </w:t>
      </w:r>
      <w:r>
        <w:t>provide valuable bas</w:t>
      </w:r>
      <w:r w:rsidR="00612DA4">
        <w:t>e</w:t>
      </w:r>
      <w:r>
        <w:t xml:space="preserve">line </w:t>
      </w:r>
      <w:r w:rsidR="00303597">
        <w:t xml:space="preserve">data </w:t>
      </w:r>
      <w:r>
        <w:t>for further investigation</w:t>
      </w:r>
      <w:r w:rsidR="00612DA4">
        <w:t>, longitudinal research</w:t>
      </w:r>
      <w:r w:rsidR="00251417">
        <w:t>,</w:t>
      </w:r>
      <w:r w:rsidR="00612DA4">
        <w:t xml:space="preserve"> </w:t>
      </w:r>
      <w:r>
        <w:t xml:space="preserve">and ongoing monitoring and review to inform </w:t>
      </w:r>
      <w:r w:rsidR="00E04E04">
        <w:t>decision-making</w:t>
      </w:r>
      <w:r>
        <w:t xml:space="preserve"> regarding resource allocation</w:t>
      </w:r>
      <w:r w:rsidR="00612DA4">
        <w:t xml:space="preserve">. </w:t>
      </w:r>
    </w:p>
    <w:p w14:paraId="4470AF2E" w14:textId="6DB91CD9" w:rsidR="001321E4" w:rsidRDefault="001321E4" w:rsidP="00D2119E">
      <w:r>
        <w:t>During the course of the project</w:t>
      </w:r>
      <w:r w:rsidR="00E04E04">
        <w:t>,</w:t>
      </w:r>
      <w:r>
        <w:t xml:space="preserve"> participating organisations reported an increase in demand and complexity of advocacy issues since the introduction of the NDIS. This is partly due to the aboli</w:t>
      </w:r>
      <w:r w:rsidR="008C5DD0">
        <w:t>tion</w:t>
      </w:r>
      <w:r>
        <w:t xml:space="preserve"> of state</w:t>
      </w:r>
      <w:r w:rsidR="00E70003">
        <w:t>-</w:t>
      </w:r>
      <w:r>
        <w:t>funded and Centrelink case management which could provide wrap</w:t>
      </w:r>
      <w:r w:rsidR="008C5DD0">
        <w:t>-</w:t>
      </w:r>
      <w:r>
        <w:t>around service</w:t>
      </w:r>
      <w:r w:rsidR="008C5DD0">
        <w:t>s</w:t>
      </w:r>
      <w:r>
        <w:t>. Dealing with increased bureaucratic processes in the NDIS and Centrelink has added to the complexity of issues.</w:t>
      </w:r>
      <w:r w:rsidR="00BE4418">
        <w:t xml:space="preserve"> </w:t>
      </w:r>
      <w:r w:rsidR="00CA0970">
        <w:t>The current review into the NDIS ma</w:t>
      </w:r>
      <w:r w:rsidR="00916173">
        <w:t xml:space="preserve">y </w:t>
      </w:r>
      <w:r w:rsidR="00825D3E">
        <w:t>identify a way to streamline some of these processes</w:t>
      </w:r>
      <w:r w:rsidR="00935E23">
        <w:t xml:space="preserve"> parti</w:t>
      </w:r>
      <w:r w:rsidR="00CD3D5D">
        <w:t>cula</w:t>
      </w:r>
      <w:r w:rsidR="008C5DD0">
        <w:t>rly</w:t>
      </w:r>
      <w:r w:rsidR="00CD3D5D">
        <w:t xml:space="preserve"> in the plan review and appeals space. </w:t>
      </w:r>
      <w:r w:rsidR="000C62B0">
        <w:t>The aboli</w:t>
      </w:r>
      <w:r w:rsidR="008C5DD0">
        <w:t>tion</w:t>
      </w:r>
      <w:r w:rsidR="000C62B0">
        <w:t xml:space="preserve"> of the </w:t>
      </w:r>
      <w:r w:rsidR="00E04E04">
        <w:t>Administrative Appeals Tribunal (</w:t>
      </w:r>
      <w:r w:rsidR="00E33FAF">
        <w:t>AAT</w:t>
      </w:r>
      <w:r w:rsidR="00E04E04">
        <w:t>)</w:t>
      </w:r>
      <w:r w:rsidR="00E33FAF">
        <w:t xml:space="preserve"> and the trial of </w:t>
      </w:r>
      <w:r w:rsidR="008C5DD0">
        <w:t xml:space="preserve">an </w:t>
      </w:r>
      <w:r w:rsidR="006A412B">
        <w:t xml:space="preserve">Independent Expert Review </w:t>
      </w:r>
      <w:r w:rsidR="008C5DD0">
        <w:t xml:space="preserve">process </w:t>
      </w:r>
      <w:r w:rsidR="006A412B">
        <w:t>provided an opportunity to</w:t>
      </w:r>
      <w:r w:rsidR="008C5DD0">
        <w:t xml:space="preserve"> trial</w:t>
      </w:r>
      <w:r w:rsidR="006A412B">
        <w:t xml:space="preserve"> </w:t>
      </w:r>
      <w:r w:rsidR="00AE68FD">
        <w:t xml:space="preserve">a more </w:t>
      </w:r>
      <w:r w:rsidR="00C94301">
        <w:t>equitable</w:t>
      </w:r>
      <w:r w:rsidR="00AE68FD">
        <w:t xml:space="preserve"> and less time</w:t>
      </w:r>
      <w:r w:rsidR="001D0197">
        <w:noBreakHyphen/>
      </w:r>
      <w:r w:rsidR="00AE68FD">
        <w:t xml:space="preserve">consuming process </w:t>
      </w:r>
      <w:r w:rsidR="00C94301">
        <w:t>for reviewing NDIS plans</w:t>
      </w:r>
      <w:r w:rsidR="00E70003">
        <w:t>.</w:t>
      </w:r>
      <w:r w:rsidR="00C94301">
        <w:t xml:space="preserve"> </w:t>
      </w:r>
      <w:r>
        <w:t xml:space="preserve"> </w:t>
      </w:r>
    </w:p>
    <w:p w14:paraId="31FD4BDB" w14:textId="72724D7A" w:rsidR="001321E4" w:rsidRDefault="001321E4" w:rsidP="00D2119E">
      <w:r w:rsidRPr="00E04E04">
        <w:rPr>
          <w:rFonts w:cs="Helvetica"/>
        </w:rPr>
        <w:t>The National Disability Advocacy Framework 2023</w:t>
      </w:r>
      <w:r w:rsidR="001668A4" w:rsidRPr="00E04E04">
        <w:rPr>
          <w:rFonts w:cs="Helvetica"/>
        </w:rPr>
        <w:t xml:space="preserve"> - 2025</w:t>
      </w:r>
      <w:r w:rsidRPr="00E04E04">
        <w:rPr>
          <w:rFonts w:cs="Helvetica"/>
        </w:rPr>
        <w:t xml:space="preserve"> identifies that t</w:t>
      </w:r>
      <w:r w:rsidRPr="00E04E04">
        <w:rPr>
          <w:rFonts w:cs="Helvetica"/>
          <w:shd w:val="clear" w:color="auto" w:fill="FFFFFF"/>
        </w:rPr>
        <w:t xml:space="preserve">here is currently no mechanism to identify unmet demand for disability advocacy services. The Framework </w:t>
      </w:r>
      <w:r w:rsidR="008C5DD0" w:rsidRPr="00E04E04">
        <w:rPr>
          <w:rFonts w:cs="Helvetica"/>
          <w:shd w:val="clear" w:color="auto" w:fill="FFFFFF"/>
        </w:rPr>
        <w:t>makes</w:t>
      </w:r>
      <w:r w:rsidRPr="00E04E04">
        <w:rPr>
          <w:rFonts w:cs="Helvetica"/>
          <w:shd w:val="clear" w:color="auto" w:fill="FFFFFF"/>
        </w:rPr>
        <w:t xml:space="preserve"> a </w:t>
      </w:r>
      <w:r w:rsidRPr="00E04E04">
        <w:rPr>
          <w:rFonts w:cs="Helvetica"/>
        </w:rPr>
        <w:t xml:space="preserve">shared commitment from the Australian and </w:t>
      </w:r>
      <w:r w:rsidR="001E71C0">
        <w:rPr>
          <w:rFonts w:cs="Helvetica"/>
        </w:rPr>
        <w:t>St</w:t>
      </w:r>
      <w:r w:rsidRPr="00E04E04">
        <w:rPr>
          <w:rFonts w:cs="Helvetica"/>
        </w:rPr>
        <w:t>ate/</w:t>
      </w:r>
      <w:r w:rsidR="00176B81" w:rsidRPr="00E04E04">
        <w:rPr>
          <w:rFonts w:cs="Helvetica"/>
        </w:rPr>
        <w:t xml:space="preserve"> </w:t>
      </w:r>
      <w:r w:rsidR="001E71C0">
        <w:rPr>
          <w:rFonts w:cs="Helvetica"/>
        </w:rPr>
        <w:t>T</w:t>
      </w:r>
      <w:r w:rsidRPr="00E04E04">
        <w:rPr>
          <w:rFonts w:cs="Helvetica"/>
        </w:rPr>
        <w:t>erritories Disability Ministers to work towards developing consistent definitions to collect consistent data across the disability advocacy sector.</w:t>
      </w:r>
      <w:r w:rsidR="00C32BBC" w:rsidRPr="00E04E04">
        <w:rPr>
          <w:rFonts w:cs="Helvetica"/>
        </w:rPr>
        <w:t xml:space="preserve"> </w:t>
      </w:r>
      <w:r w:rsidR="007E3D0D" w:rsidRPr="00E04E04">
        <w:rPr>
          <w:rFonts w:cs="Helvetica"/>
        </w:rPr>
        <w:t>Cons</w:t>
      </w:r>
      <w:r w:rsidR="00E70003" w:rsidRPr="00E04E04">
        <w:rPr>
          <w:rFonts w:cs="Helvetica"/>
        </w:rPr>
        <w:t>isten</w:t>
      </w:r>
      <w:r w:rsidR="007E3D0D" w:rsidRPr="00E04E04">
        <w:rPr>
          <w:rFonts w:cs="Helvetica"/>
        </w:rPr>
        <w:t>t</w:t>
      </w:r>
      <w:r w:rsidR="00E70003" w:rsidRPr="00E04E04">
        <w:rPr>
          <w:rFonts w:cs="Helvetica"/>
        </w:rPr>
        <w:t xml:space="preserve"> </w:t>
      </w:r>
      <w:r w:rsidR="007E3D0D" w:rsidRPr="00E04E04">
        <w:rPr>
          <w:rFonts w:cs="Helvetica"/>
        </w:rPr>
        <w:t>data</w:t>
      </w:r>
      <w:r w:rsidR="007E3D0D">
        <w:t xml:space="preserve"> </w:t>
      </w:r>
      <w:r w:rsidR="00CF2E03">
        <w:t xml:space="preserve">will build the evidence </w:t>
      </w:r>
      <w:r w:rsidR="00DA3BC0">
        <w:t xml:space="preserve">for the current capacity and </w:t>
      </w:r>
      <w:r w:rsidR="00141561">
        <w:t xml:space="preserve">demand for disability </w:t>
      </w:r>
      <w:r w:rsidR="00E70003">
        <w:t>a</w:t>
      </w:r>
      <w:r w:rsidR="00141561">
        <w:t>dvocacy</w:t>
      </w:r>
      <w:r w:rsidR="00E70003">
        <w:t xml:space="preserve">, and this is a key role for </w:t>
      </w:r>
      <w:r>
        <w:t xml:space="preserve">the NCDA. </w:t>
      </w:r>
    </w:p>
    <w:p w14:paraId="5D53E9B9" w14:textId="481938AD" w:rsidR="00856290" w:rsidRDefault="001321E4" w:rsidP="00D2119E">
      <w:r>
        <w:t xml:space="preserve">DANA submissions to the Disability Royal Commission </w:t>
      </w:r>
      <w:r w:rsidR="00867175">
        <w:t>have</w:t>
      </w:r>
      <w:r>
        <w:t xml:space="preserve"> </w:t>
      </w:r>
      <w:r w:rsidR="00E70003">
        <w:t xml:space="preserve">also </w:t>
      </w:r>
      <w:r>
        <w:t>highlighted the value of independent disability advocacy and the need for a significant increase in funding for the sector to able to meet current and future demand</w:t>
      </w:r>
      <w:r w:rsidR="00E70003">
        <w:t>s</w:t>
      </w:r>
      <w:r>
        <w:t xml:space="preserve"> for advocacy.  </w:t>
      </w:r>
    </w:p>
    <w:p w14:paraId="1C1D480D" w14:textId="77777777" w:rsidR="000F4900" w:rsidRDefault="000F4900">
      <w:pPr>
        <w:spacing w:after="0" w:line="240" w:lineRule="auto"/>
        <w:rPr>
          <w:szCs w:val="22"/>
        </w:rPr>
      </w:pPr>
      <w:bookmarkStart w:id="58" w:name="_Attachment_1:_"/>
      <w:bookmarkEnd w:id="58"/>
      <w:r>
        <w:rPr>
          <w:szCs w:val="22"/>
        </w:rPr>
        <w:br w:type="page"/>
      </w:r>
    </w:p>
    <w:p w14:paraId="693E23A6" w14:textId="2A404F8C" w:rsidR="00257218" w:rsidRPr="002E5A0E" w:rsidRDefault="002E5A0E" w:rsidP="000F4900">
      <w:pPr>
        <w:pStyle w:val="Heading1"/>
        <w:rPr>
          <w:rFonts w:cs="Helvetica"/>
          <w:szCs w:val="22"/>
        </w:rPr>
      </w:pPr>
      <w:bookmarkStart w:id="59" w:name="_Toc149667982"/>
      <w:r w:rsidRPr="002E5A0E">
        <w:rPr>
          <w:rFonts w:cs="Helvetica"/>
          <w:szCs w:val="22"/>
        </w:rPr>
        <w:lastRenderedPageBreak/>
        <w:t>Attachment 1:  M</w:t>
      </w:r>
      <w:r w:rsidR="00257218" w:rsidRPr="002E5A0E">
        <w:t>onthly intake s</w:t>
      </w:r>
      <w:r w:rsidR="007C5BFA">
        <w:t>u</w:t>
      </w:r>
      <w:r w:rsidR="00257218" w:rsidRPr="002E5A0E">
        <w:t>rvey</w:t>
      </w:r>
      <w:bookmarkEnd w:id="59"/>
    </w:p>
    <w:p w14:paraId="0FEA8348" w14:textId="1D04DF1A" w:rsidR="007303D4" w:rsidRPr="00E04E04" w:rsidRDefault="004F39AB" w:rsidP="00E04E04">
      <w:r w:rsidRPr="00E04E04">
        <w:t xml:space="preserve">Disability Advocacy Network Australia's (DANA) "Intake </w:t>
      </w:r>
      <w:r w:rsidR="00A52D2B" w:rsidRPr="00E04E04">
        <w:t xml:space="preserve">and </w:t>
      </w:r>
      <w:r w:rsidRPr="00E04E04">
        <w:t>Wait</w:t>
      </w:r>
      <w:r w:rsidR="00F639BB" w:rsidRPr="00E04E04">
        <w:t xml:space="preserve"> </w:t>
      </w:r>
      <w:r w:rsidR="00F90AFB">
        <w:t>L</w:t>
      </w:r>
      <w:r w:rsidRPr="00E04E04">
        <w:t>ist Data" survey aims to capture a</w:t>
      </w:r>
      <w:r w:rsidR="00410597" w:rsidRPr="00E04E04">
        <w:t xml:space="preserve"> </w:t>
      </w:r>
      <w:r w:rsidRPr="00E04E04">
        <w:t xml:space="preserve">snapshot of unmet demand. DANA will send out one survey a month for </w:t>
      </w:r>
      <w:r w:rsidR="007C5BFA">
        <w:t xml:space="preserve">six </w:t>
      </w:r>
      <w:r w:rsidRPr="00E04E04">
        <w:t>months to gather</w:t>
      </w:r>
      <w:r w:rsidR="0044499E" w:rsidRPr="00E04E04">
        <w:t xml:space="preserve"> </w:t>
      </w:r>
      <w:r w:rsidRPr="00E04E04">
        <w:t>information as part of the DANA Intake Project.</w:t>
      </w:r>
    </w:p>
    <w:p w14:paraId="32BB0AD1" w14:textId="77777777" w:rsidR="007B50D1" w:rsidRPr="00E04E04" w:rsidRDefault="004F39AB" w:rsidP="00E04E04">
      <w:r w:rsidRPr="00E04E04">
        <w:t>This survey is only asking about disability advocacy, and all data in the questions below will refer to</w:t>
      </w:r>
      <w:r w:rsidR="00CE125C" w:rsidRPr="00E04E04">
        <w:t xml:space="preserve"> </w:t>
      </w:r>
      <w:r w:rsidRPr="00E04E04">
        <w:t>clients during September 2021. This survey will be open until Friday 29th October</w:t>
      </w:r>
      <w:r w:rsidR="00A52D2B" w:rsidRPr="00E04E04">
        <w:t xml:space="preserve"> 2021.</w:t>
      </w:r>
    </w:p>
    <w:p w14:paraId="4C9ACD77" w14:textId="77777777" w:rsidR="0024498D" w:rsidRPr="00E04E04" w:rsidRDefault="004F39AB" w:rsidP="00E04E04">
      <w:r w:rsidRPr="00E04E04">
        <w:t>We will provide the compiled data for each month back to all of you when we send the subsequent</w:t>
      </w:r>
      <w:r w:rsidR="008A7ED7" w:rsidRPr="00E04E04">
        <w:t xml:space="preserve"> </w:t>
      </w:r>
      <w:r w:rsidRPr="00E04E04">
        <w:t>survey at the beginning of the next month.</w:t>
      </w:r>
    </w:p>
    <w:p w14:paraId="69C92A64" w14:textId="77777777" w:rsidR="0024498D" w:rsidRPr="00E04E04" w:rsidRDefault="004F39AB" w:rsidP="00E04E04">
      <w:r w:rsidRPr="00E04E04">
        <w:t>The survey takes about 10 minutes to complete, only one response per organisation required.</w:t>
      </w:r>
    </w:p>
    <w:p w14:paraId="014F1F9F" w14:textId="0C9647A3" w:rsidR="00D2734A" w:rsidRPr="00E04E04" w:rsidRDefault="00561807" w:rsidP="00F90AFB">
      <w:pPr>
        <w:ind w:left="426" w:hanging="426"/>
      </w:pPr>
      <w:r>
        <w:t xml:space="preserve">1. </w:t>
      </w:r>
      <w:r w:rsidR="00F90AFB">
        <w:t xml:space="preserve">   </w:t>
      </w:r>
      <w:r w:rsidR="004F39AB" w:rsidRPr="00E04E04">
        <w:t>In the provision of individual advocacy, how many advocacy hours were provided by your organisation in</w:t>
      </w:r>
      <w:r w:rsidR="001B6827" w:rsidRPr="00E04E04">
        <w:t xml:space="preserve"> </w:t>
      </w:r>
      <w:r>
        <w:t>&lt;month&gt;</w:t>
      </w:r>
      <w:r w:rsidR="004F39AB" w:rsidRPr="00E04E04">
        <w:t>? Please enter the number below</w:t>
      </w:r>
      <w:r w:rsidR="00A52D2B" w:rsidRPr="00E04E04">
        <w:t>.</w:t>
      </w:r>
    </w:p>
    <w:p w14:paraId="756757D5" w14:textId="4C317B22" w:rsidR="00AA2A71" w:rsidRPr="00E04E04" w:rsidRDefault="00561807" w:rsidP="00F90AFB">
      <w:pPr>
        <w:ind w:left="426" w:hanging="426"/>
      </w:pPr>
      <w:r>
        <w:t xml:space="preserve">2. </w:t>
      </w:r>
      <w:r w:rsidR="00F90AFB">
        <w:t xml:space="preserve">   </w:t>
      </w:r>
      <w:r w:rsidR="004F39AB" w:rsidRPr="00E04E04">
        <w:t>In the provision of systemic advocacy, how many advocacy hours were provided by your organisation in</w:t>
      </w:r>
      <w:r w:rsidR="00D2734A" w:rsidRPr="00E04E04">
        <w:t xml:space="preserve"> </w:t>
      </w:r>
      <w:r>
        <w:t>&lt;month&gt;</w:t>
      </w:r>
      <w:r w:rsidR="004F39AB" w:rsidRPr="00E04E04">
        <w:t>? Please enter the number below</w:t>
      </w:r>
      <w:r w:rsidR="00A52D2B" w:rsidRPr="00E04E04">
        <w:t>.</w:t>
      </w:r>
    </w:p>
    <w:p w14:paraId="039BA329" w14:textId="5375C393" w:rsidR="00AA2A71" w:rsidRPr="00E04E04" w:rsidRDefault="00561807" w:rsidP="00F90AFB">
      <w:pPr>
        <w:ind w:left="426" w:hanging="426"/>
      </w:pPr>
      <w:r>
        <w:t xml:space="preserve">3. </w:t>
      </w:r>
      <w:r w:rsidR="00F90AFB">
        <w:t xml:space="preserve">   </w:t>
      </w:r>
      <w:r w:rsidR="004F39AB" w:rsidRPr="00E04E04">
        <w:t>Which geographical areas do you cover?</w:t>
      </w:r>
    </w:p>
    <w:p w14:paraId="04CEFE84" w14:textId="6301D1AD" w:rsidR="004F39AB" w:rsidRPr="00E04E04" w:rsidRDefault="00561807" w:rsidP="00F90AFB">
      <w:pPr>
        <w:ind w:left="426" w:hanging="426"/>
      </w:pPr>
      <w:r>
        <w:t xml:space="preserve">4. </w:t>
      </w:r>
      <w:r w:rsidR="00F90AFB">
        <w:t xml:space="preserve">   </w:t>
      </w:r>
      <w:r w:rsidR="004F39AB" w:rsidRPr="00E04E04">
        <w:t xml:space="preserve">What is the total number of people that have contacted you inquiring for assistance in </w:t>
      </w:r>
      <w:r>
        <w:t>&lt;month&gt;</w:t>
      </w:r>
      <w:r w:rsidR="004F39AB" w:rsidRPr="00E04E04">
        <w:t>, whether</w:t>
      </w:r>
      <w:r w:rsidR="007C15F8" w:rsidRPr="00E04E04">
        <w:t xml:space="preserve"> </w:t>
      </w:r>
      <w:r w:rsidR="004F39AB" w:rsidRPr="00E04E04">
        <w:t>they became an advocacy client or not?</w:t>
      </w:r>
    </w:p>
    <w:p w14:paraId="1406BE49" w14:textId="4E8E6E56" w:rsidR="004F39AB" w:rsidRPr="00E04E04" w:rsidRDefault="004F39AB" w:rsidP="00F90AFB">
      <w:pPr>
        <w:pStyle w:val="ListParagraph"/>
        <w:numPr>
          <w:ilvl w:val="0"/>
          <w:numId w:val="45"/>
        </w:numPr>
        <w:ind w:hanging="294"/>
      </w:pPr>
      <w:r w:rsidRPr="00E04E04">
        <w:t>State/</w:t>
      </w:r>
      <w:r w:rsidR="001E71C0">
        <w:t xml:space="preserve"> t</w:t>
      </w:r>
      <w:r w:rsidRPr="00E04E04">
        <w:t>erritory</w:t>
      </w:r>
    </w:p>
    <w:p w14:paraId="61BEB010" w14:textId="77777777" w:rsidR="004F39AB" w:rsidRPr="00E04E04" w:rsidRDefault="004F39AB" w:rsidP="00F90AFB">
      <w:pPr>
        <w:pStyle w:val="ListParagraph"/>
        <w:numPr>
          <w:ilvl w:val="0"/>
          <w:numId w:val="45"/>
        </w:numPr>
        <w:ind w:hanging="294"/>
      </w:pPr>
      <w:r w:rsidRPr="00E04E04">
        <w:t>NDAP</w:t>
      </w:r>
    </w:p>
    <w:p w14:paraId="6B7542D5" w14:textId="77777777" w:rsidR="004F39AB" w:rsidRPr="00E04E04" w:rsidRDefault="004F39AB" w:rsidP="00F90AFB">
      <w:pPr>
        <w:pStyle w:val="ListParagraph"/>
        <w:numPr>
          <w:ilvl w:val="0"/>
          <w:numId w:val="45"/>
        </w:numPr>
        <w:ind w:hanging="294"/>
      </w:pPr>
      <w:r w:rsidRPr="00E04E04">
        <w:t>DRC</w:t>
      </w:r>
    </w:p>
    <w:p w14:paraId="0C91CA3C" w14:textId="77777777" w:rsidR="004F39AB" w:rsidRPr="00E04E04" w:rsidRDefault="004F39AB" w:rsidP="00F90AFB">
      <w:pPr>
        <w:pStyle w:val="ListParagraph"/>
        <w:numPr>
          <w:ilvl w:val="0"/>
          <w:numId w:val="45"/>
        </w:numPr>
        <w:ind w:hanging="294"/>
      </w:pPr>
      <w:r w:rsidRPr="00E04E04">
        <w:t>NDIS Appeals</w:t>
      </w:r>
    </w:p>
    <w:p w14:paraId="50082627" w14:textId="77777777" w:rsidR="004F39AB" w:rsidRPr="00E04E04" w:rsidRDefault="004F39AB" w:rsidP="00F90AFB">
      <w:pPr>
        <w:pStyle w:val="ListParagraph"/>
        <w:numPr>
          <w:ilvl w:val="0"/>
          <w:numId w:val="45"/>
        </w:numPr>
        <w:ind w:hanging="294"/>
      </w:pPr>
      <w:r w:rsidRPr="00E04E04">
        <w:t>Decision support</w:t>
      </w:r>
    </w:p>
    <w:p w14:paraId="63AC9582" w14:textId="77777777" w:rsidR="009C49EC" w:rsidRPr="00E04E04" w:rsidRDefault="004F39AB" w:rsidP="00F90AFB">
      <w:pPr>
        <w:pStyle w:val="ListParagraph"/>
        <w:numPr>
          <w:ilvl w:val="0"/>
          <w:numId w:val="45"/>
        </w:numPr>
        <w:spacing w:after="120"/>
        <w:ind w:left="714" w:hanging="294"/>
      </w:pPr>
      <w:r w:rsidRPr="00E04E04">
        <w:t>Other</w:t>
      </w:r>
    </w:p>
    <w:p w14:paraId="1F353F11" w14:textId="7481F6A4" w:rsidR="00564D0C" w:rsidRPr="00E04E04" w:rsidRDefault="00561807" w:rsidP="00F90AFB">
      <w:pPr>
        <w:ind w:left="426" w:hanging="426"/>
      </w:pPr>
      <w:r>
        <w:t xml:space="preserve">5. </w:t>
      </w:r>
      <w:r w:rsidR="00F90AFB">
        <w:t xml:space="preserve">   How</w:t>
      </w:r>
      <w:r w:rsidR="004F39AB" w:rsidRPr="00E04E04">
        <w:t xml:space="preserve"> many people were accepted through your intake system and became an advocacy </w:t>
      </w:r>
      <w:r w:rsidR="00F90AFB">
        <w:t xml:space="preserve">  </w:t>
      </w:r>
      <w:r w:rsidR="004F39AB" w:rsidRPr="00E04E04">
        <w:t>client in</w:t>
      </w:r>
      <w:r w:rsidR="00EB542C" w:rsidRPr="00E04E04">
        <w:t xml:space="preserve"> </w:t>
      </w:r>
      <w:r w:rsidR="004F39AB" w:rsidRPr="00E04E04">
        <w:t>September? Please enter the total number for each applicable funding stream.</w:t>
      </w:r>
    </w:p>
    <w:p w14:paraId="58C135D5" w14:textId="4F3A583B" w:rsidR="004F39AB" w:rsidRPr="00E04E04" w:rsidRDefault="00057BAA" w:rsidP="00F90AFB">
      <w:pPr>
        <w:ind w:left="426" w:hanging="426"/>
      </w:pPr>
      <w:r>
        <w:t xml:space="preserve">6. </w:t>
      </w:r>
      <w:r w:rsidR="00F90AFB">
        <w:t xml:space="preserve">   </w:t>
      </w:r>
      <w:r w:rsidR="004F39AB" w:rsidRPr="00E04E04">
        <w:t xml:space="preserve">What is the total number of people you helped by providing information* (and support to </w:t>
      </w:r>
      <w:r w:rsidR="00123E5F" w:rsidRPr="00E04E04">
        <w:t>self-advocate</w:t>
      </w:r>
      <w:r w:rsidR="004F39AB" w:rsidRPr="00E04E04">
        <w:t>) in</w:t>
      </w:r>
      <w:r w:rsidR="005A6202" w:rsidRPr="00E04E04">
        <w:t xml:space="preserve"> </w:t>
      </w:r>
      <w:r>
        <w:t>&lt;month&gt;</w:t>
      </w:r>
      <w:r w:rsidR="004F39AB" w:rsidRPr="00E04E04">
        <w:t>? (These people didn't become an individual advocacy client through your intake system).</w:t>
      </w:r>
    </w:p>
    <w:p w14:paraId="073B113C" w14:textId="68409FA7" w:rsidR="004F39AB" w:rsidRPr="00E04E04" w:rsidRDefault="00A52D2B" w:rsidP="00F90AFB">
      <w:pPr>
        <w:ind w:left="426" w:hanging="426"/>
      </w:pPr>
      <w:r w:rsidRPr="00E04E04">
        <w:t>*</w:t>
      </w:r>
      <w:r w:rsidR="00F90AFB">
        <w:t xml:space="preserve">     </w:t>
      </w:r>
      <w:r w:rsidR="004F39AB" w:rsidRPr="00E04E04">
        <w:t xml:space="preserve">For the purpose of this survey, 'information' means provision of material in a general way. It does not </w:t>
      </w:r>
      <w:r w:rsidR="002427FB" w:rsidRPr="00E04E04">
        <w:t>include contacting</w:t>
      </w:r>
      <w:r w:rsidR="004F39AB" w:rsidRPr="00E04E04">
        <w:t xml:space="preserve"> another service on behalf of the person.</w:t>
      </w:r>
    </w:p>
    <w:p w14:paraId="0010F102" w14:textId="30FD4AF3" w:rsidR="004F39AB" w:rsidRPr="00E04E04" w:rsidRDefault="004F39AB" w:rsidP="00F90AFB">
      <w:pPr>
        <w:pStyle w:val="ListParagraph"/>
        <w:numPr>
          <w:ilvl w:val="0"/>
          <w:numId w:val="44"/>
        </w:numPr>
        <w:ind w:hanging="294"/>
      </w:pPr>
      <w:r w:rsidRPr="00E04E04">
        <w:t>State/</w:t>
      </w:r>
      <w:r w:rsidR="00D0555F">
        <w:t xml:space="preserve"> t</w:t>
      </w:r>
      <w:r w:rsidRPr="00E04E04">
        <w:t>erritory</w:t>
      </w:r>
    </w:p>
    <w:p w14:paraId="24FA94C6" w14:textId="77777777" w:rsidR="004F39AB" w:rsidRPr="00E04E04" w:rsidRDefault="004F39AB" w:rsidP="00F90AFB">
      <w:pPr>
        <w:pStyle w:val="ListParagraph"/>
        <w:numPr>
          <w:ilvl w:val="0"/>
          <w:numId w:val="44"/>
        </w:numPr>
        <w:ind w:hanging="294"/>
      </w:pPr>
      <w:r w:rsidRPr="00E04E04">
        <w:t>NDAP</w:t>
      </w:r>
    </w:p>
    <w:p w14:paraId="3C2A2881" w14:textId="77777777" w:rsidR="004F39AB" w:rsidRPr="00E04E04" w:rsidRDefault="004F39AB" w:rsidP="00F90AFB">
      <w:pPr>
        <w:pStyle w:val="ListParagraph"/>
        <w:numPr>
          <w:ilvl w:val="0"/>
          <w:numId w:val="44"/>
        </w:numPr>
        <w:ind w:hanging="294"/>
      </w:pPr>
      <w:r w:rsidRPr="00E04E04">
        <w:t>DRC</w:t>
      </w:r>
    </w:p>
    <w:p w14:paraId="3860A34C" w14:textId="77777777" w:rsidR="004F39AB" w:rsidRPr="00E04E04" w:rsidRDefault="004F39AB" w:rsidP="00F90AFB">
      <w:pPr>
        <w:pStyle w:val="ListParagraph"/>
        <w:numPr>
          <w:ilvl w:val="0"/>
          <w:numId w:val="44"/>
        </w:numPr>
        <w:ind w:hanging="294"/>
      </w:pPr>
      <w:r w:rsidRPr="00E04E04">
        <w:t>NDIS Appeals</w:t>
      </w:r>
    </w:p>
    <w:p w14:paraId="6E656A8E" w14:textId="77777777" w:rsidR="004F39AB" w:rsidRPr="00E04E04" w:rsidRDefault="004F39AB" w:rsidP="00F90AFB">
      <w:pPr>
        <w:pStyle w:val="ListParagraph"/>
        <w:numPr>
          <w:ilvl w:val="0"/>
          <w:numId w:val="44"/>
        </w:numPr>
        <w:ind w:hanging="294"/>
      </w:pPr>
      <w:r w:rsidRPr="00E04E04">
        <w:t>Decision support</w:t>
      </w:r>
    </w:p>
    <w:p w14:paraId="2EF448C0" w14:textId="3FDFFE42" w:rsidR="004D3C00" w:rsidRDefault="004F39AB" w:rsidP="00F90AFB">
      <w:pPr>
        <w:pStyle w:val="ListParagraph"/>
        <w:numPr>
          <w:ilvl w:val="0"/>
          <w:numId w:val="44"/>
        </w:numPr>
        <w:spacing w:after="120"/>
        <w:ind w:left="714" w:hanging="294"/>
      </w:pPr>
      <w:r w:rsidRPr="00E04E04">
        <w:t>Other</w:t>
      </w:r>
    </w:p>
    <w:p w14:paraId="5AE836E5" w14:textId="77777777" w:rsidR="00D0555F" w:rsidRDefault="00D0555F" w:rsidP="00D0555F">
      <w:pPr>
        <w:pStyle w:val="ListParagraph"/>
        <w:spacing w:after="120"/>
        <w:ind w:left="714"/>
      </w:pPr>
    </w:p>
    <w:p w14:paraId="171BFA10" w14:textId="77777777" w:rsidR="00D0555F" w:rsidRDefault="00D0555F" w:rsidP="00D0555F">
      <w:pPr>
        <w:pStyle w:val="ListParagraph"/>
        <w:spacing w:after="120"/>
        <w:ind w:left="714"/>
      </w:pPr>
    </w:p>
    <w:p w14:paraId="00630118" w14:textId="77777777" w:rsidR="00D0555F" w:rsidRPr="00E04E04" w:rsidRDefault="00D0555F" w:rsidP="00D0555F">
      <w:pPr>
        <w:pStyle w:val="ListParagraph"/>
        <w:spacing w:after="120"/>
        <w:ind w:left="714"/>
      </w:pPr>
    </w:p>
    <w:p w14:paraId="30B3D374" w14:textId="5635267F" w:rsidR="00D0555F" w:rsidRDefault="004F39AB" w:rsidP="00D0555F">
      <w:pPr>
        <w:pStyle w:val="ListParagraph"/>
        <w:numPr>
          <w:ilvl w:val="0"/>
          <w:numId w:val="16"/>
        </w:numPr>
      </w:pPr>
      <w:r w:rsidRPr="00E04E04">
        <w:lastRenderedPageBreak/>
        <w:t>Due to insufficient capacity, how many people couldn't you help in September? Please enter the total</w:t>
      </w:r>
      <w:r w:rsidR="00A971C0" w:rsidRPr="00E04E04">
        <w:t xml:space="preserve"> </w:t>
      </w:r>
      <w:r w:rsidRPr="00E04E04">
        <w:t>number beside each applicable funding stream.</w:t>
      </w:r>
    </w:p>
    <w:p w14:paraId="772404EE" w14:textId="77777777" w:rsidR="00D0555F" w:rsidRPr="00E04E04" w:rsidRDefault="00D0555F" w:rsidP="00D0555F">
      <w:pPr>
        <w:pStyle w:val="ListParagraph"/>
        <w:ind w:left="360"/>
      </w:pPr>
    </w:p>
    <w:p w14:paraId="14806CA9" w14:textId="5815A774" w:rsidR="004F39AB" w:rsidRPr="00E04E04" w:rsidRDefault="004F39AB" w:rsidP="00F90AFB">
      <w:pPr>
        <w:pStyle w:val="ListParagraph"/>
        <w:numPr>
          <w:ilvl w:val="0"/>
          <w:numId w:val="43"/>
        </w:numPr>
        <w:ind w:hanging="294"/>
      </w:pPr>
      <w:r w:rsidRPr="00E04E04">
        <w:t>State/</w:t>
      </w:r>
      <w:r w:rsidR="00D0555F">
        <w:t xml:space="preserve"> t</w:t>
      </w:r>
      <w:r w:rsidRPr="00E04E04">
        <w:t>erritory</w:t>
      </w:r>
    </w:p>
    <w:p w14:paraId="1DD5584D" w14:textId="77777777" w:rsidR="004F39AB" w:rsidRPr="00E04E04" w:rsidRDefault="004F39AB" w:rsidP="00F90AFB">
      <w:pPr>
        <w:pStyle w:val="ListParagraph"/>
        <w:numPr>
          <w:ilvl w:val="0"/>
          <w:numId w:val="43"/>
        </w:numPr>
        <w:ind w:hanging="294"/>
      </w:pPr>
      <w:r w:rsidRPr="00E04E04">
        <w:t>NDAP</w:t>
      </w:r>
    </w:p>
    <w:p w14:paraId="1CA951B3" w14:textId="77777777" w:rsidR="004F39AB" w:rsidRPr="00E04E04" w:rsidRDefault="004F39AB" w:rsidP="00F90AFB">
      <w:pPr>
        <w:pStyle w:val="ListParagraph"/>
        <w:numPr>
          <w:ilvl w:val="0"/>
          <w:numId w:val="43"/>
        </w:numPr>
        <w:ind w:hanging="294"/>
      </w:pPr>
      <w:r w:rsidRPr="00E04E04">
        <w:t>DRC</w:t>
      </w:r>
    </w:p>
    <w:p w14:paraId="26AFFDB2" w14:textId="77777777" w:rsidR="004F39AB" w:rsidRPr="00E04E04" w:rsidRDefault="004F39AB" w:rsidP="00F90AFB">
      <w:pPr>
        <w:pStyle w:val="ListParagraph"/>
        <w:numPr>
          <w:ilvl w:val="0"/>
          <w:numId w:val="43"/>
        </w:numPr>
        <w:ind w:hanging="294"/>
      </w:pPr>
      <w:r w:rsidRPr="00E04E04">
        <w:t>NDIS Appeals</w:t>
      </w:r>
    </w:p>
    <w:p w14:paraId="48A45BF2" w14:textId="77777777" w:rsidR="004F39AB" w:rsidRPr="00E04E04" w:rsidRDefault="004F39AB" w:rsidP="00F90AFB">
      <w:pPr>
        <w:pStyle w:val="ListParagraph"/>
        <w:numPr>
          <w:ilvl w:val="0"/>
          <w:numId w:val="43"/>
        </w:numPr>
        <w:ind w:hanging="294"/>
      </w:pPr>
      <w:r w:rsidRPr="00E04E04">
        <w:t>Decision support</w:t>
      </w:r>
    </w:p>
    <w:p w14:paraId="0DB760B3" w14:textId="22E44535" w:rsidR="00EB456F" w:rsidRPr="00E04E04" w:rsidRDefault="004F39AB" w:rsidP="00F90AFB">
      <w:pPr>
        <w:pStyle w:val="ListParagraph"/>
        <w:numPr>
          <w:ilvl w:val="0"/>
          <w:numId w:val="43"/>
        </w:numPr>
        <w:spacing w:after="120"/>
        <w:ind w:left="714" w:hanging="294"/>
      </w:pPr>
      <w:r w:rsidRPr="00E04E04">
        <w:t>Other</w:t>
      </w:r>
    </w:p>
    <w:p w14:paraId="1E14AAB5" w14:textId="0BECE93A" w:rsidR="00A971C0" w:rsidRPr="00E04E04" w:rsidRDefault="00873E9D" w:rsidP="00F90AFB">
      <w:pPr>
        <w:ind w:left="426" w:hanging="426"/>
      </w:pPr>
      <w:r>
        <w:t xml:space="preserve">8. </w:t>
      </w:r>
      <w:r w:rsidR="00F90AFB">
        <w:t xml:space="preserve">   </w:t>
      </w:r>
      <w:r w:rsidR="004F39AB" w:rsidRPr="00E04E04">
        <w:t xml:space="preserve">How many people did you have on each of these waiting lists at the end of </w:t>
      </w:r>
      <w:r>
        <w:t>&lt;month&gt;</w:t>
      </w:r>
      <w:r w:rsidR="004F39AB" w:rsidRPr="00E04E04">
        <w:t>, if applicable?</w:t>
      </w:r>
    </w:p>
    <w:p w14:paraId="19E5B4DA" w14:textId="091668B0" w:rsidR="004F39AB" w:rsidRPr="00E04E04" w:rsidRDefault="00F90AFB" w:rsidP="00F90AFB">
      <w:pPr>
        <w:ind w:left="426" w:hanging="426"/>
      </w:pPr>
      <w:r>
        <w:t xml:space="preserve">       </w:t>
      </w:r>
      <w:r w:rsidR="004F39AB" w:rsidRPr="00E04E04">
        <w:t xml:space="preserve">Did you 'close the books' in </w:t>
      </w:r>
      <w:r w:rsidR="00873E9D">
        <w:t>&lt;month&gt;</w:t>
      </w:r>
      <w:r w:rsidR="004F39AB" w:rsidRPr="00E04E04">
        <w:t>?</w:t>
      </w:r>
    </w:p>
    <w:p w14:paraId="1C57D388" w14:textId="60566576" w:rsidR="004F39AB" w:rsidRPr="00E04E04" w:rsidRDefault="004F39AB" w:rsidP="00F90AFB">
      <w:pPr>
        <w:pStyle w:val="ListParagraph"/>
        <w:numPr>
          <w:ilvl w:val="0"/>
          <w:numId w:val="42"/>
        </w:numPr>
        <w:ind w:hanging="294"/>
      </w:pPr>
      <w:r w:rsidRPr="00E04E04">
        <w:t>State/</w:t>
      </w:r>
      <w:r w:rsidR="00D0555F">
        <w:t xml:space="preserve"> t</w:t>
      </w:r>
      <w:r w:rsidRPr="00E04E04">
        <w:t>erritory</w:t>
      </w:r>
    </w:p>
    <w:p w14:paraId="705AD50E" w14:textId="77777777" w:rsidR="004F39AB" w:rsidRPr="00E04E04" w:rsidRDefault="004F39AB" w:rsidP="00F90AFB">
      <w:pPr>
        <w:pStyle w:val="ListParagraph"/>
        <w:numPr>
          <w:ilvl w:val="0"/>
          <w:numId w:val="42"/>
        </w:numPr>
        <w:ind w:hanging="294"/>
      </w:pPr>
      <w:r w:rsidRPr="00E04E04">
        <w:t>NDAP</w:t>
      </w:r>
    </w:p>
    <w:p w14:paraId="67AC7351" w14:textId="77777777" w:rsidR="004F39AB" w:rsidRPr="00E04E04" w:rsidRDefault="004F39AB" w:rsidP="00F90AFB">
      <w:pPr>
        <w:pStyle w:val="ListParagraph"/>
        <w:numPr>
          <w:ilvl w:val="0"/>
          <w:numId w:val="42"/>
        </w:numPr>
        <w:ind w:hanging="294"/>
      </w:pPr>
      <w:r w:rsidRPr="00E04E04">
        <w:t>DRC</w:t>
      </w:r>
    </w:p>
    <w:p w14:paraId="5DD0E6BB" w14:textId="77777777" w:rsidR="004F39AB" w:rsidRPr="00E04E04" w:rsidRDefault="004F39AB" w:rsidP="00F90AFB">
      <w:pPr>
        <w:pStyle w:val="ListParagraph"/>
        <w:numPr>
          <w:ilvl w:val="0"/>
          <w:numId w:val="42"/>
        </w:numPr>
        <w:ind w:hanging="294"/>
      </w:pPr>
      <w:r w:rsidRPr="00E04E04">
        <w:t>NDIS Appeals</w:t>
      </w:r>
    </w:p>
    <w:p w14:paraId="32307AE3" w14:textId="77777777" w:rsidR="004F39AB" w:rsidRPr="00E04E04" w:rsidRDefault="004F39AB" w:rsidP="00F90AFB">
      <w:pPr>
        <w:pStyle w:val="ListParagraph"/>
        <w:numPr>
          <w:ilvl w:val="0"/>
          <w:numId w:val="42"/>
        </w:numPr>
        <w:ind w:hanging="294"/>
      </w:pPr>
      <w:r w:rsidRPr="00E04E04">
        <w:t>Decision support</w:t>
      </w:r>
    </w:p>
    <w:p w14:paraId="25C24E34" w14:textId="20A95864" w:rsidR="00EB456F" w:rsidRPr="00E04E04" w:rsidRDefault="004F39AB" w:rsidP="00F90AFB">
      <w:pPr>
        <w:pStyle w:val="ListParagraph"/>
        <w:numPr>
          <w:ilvl w:val="0"/>
          <w:numId w:val="42"/>
        </w:numPr>
        <w:spacing w:after="120"/>
        <w:ind w:left="714" w:hanging="294"/>
      </w:pPr>
      <w:r w:rsidRPr="00E04E04">
        <w:t>Other</w:t>
      </w:r>
    </w:p>
    <w:p w14:paraId="49BBD0EC" w14:textId="0DE65145" w:rsidR="00EB456F" w:rsidRPr="00E04E04" w:rsidRDefault="00873E9D" w:rsidP="00D0555F">
      <w:pPr>
        <w:ind w:left="426" w:hanging="426"/>
      </w:pPr>
      <w:r>
        <w:t>10.</w:t>
      </w:r>
      <w:r w:rsidR="00D0555F">
        <w:t xml:space="preserve"> </w:t>
      </w:r>
      <w:r>
        <w:t xml:space="preserve"> </w:t>
      </w:r>
      <w:r w:rsidR="004F39AB" w:rsidRPr="00E04E04">
        <w:t xml:space="preserve">If yes, for how many days have the books been closed for </w:t>
      </w:r>
      <w:r>
        <w:t>&lt;month&gt;</w:t>
      </w:r>
      <w:r w:rsidR="004F39AB" w:rsidRPr="00E04E04">
        <w:t>? Please enter the number of days</w:t>
      </w:r>
      <w:r w:rsidR="000B7728" w:rsidRPr="00E04E04">
        <w:t xml:space="preserve"> </w:t>
      </w:r>
      <w:r w:rsidR="004F39AB" w:rsidRPr="00E04E04">
        <w:t>beside each relevant funding stream.</w:t>
      </w:r>
    </w:p>
    <w:p w14:paraId="5ECBFB9C" w14:textId="57C883AE" w:rsidR="00473542" w:rsidRPr="00E04E04" w:rsidRDefault="00873E9D" w:rsidP="00D0555F">
      <w:pPr>
        <w:ind w:left="426" w:hanging="426"/>
      </w:pPr>
      <w:r>
        <w:t xml:space="preserve">11. </w:t>
      </w:r>
      <w:r w:rsidR="00D0555F">
        <w:t xml:space="preserve"> </w:t>
      </w:r>
      <w:r w:rsidR="004F39AB" w:rsidRPr="00E04E04">
        <w:t>What factors, if any, do you believe are impacting wait times?</w:t>
      </w:r>
    </w:p>
    <w:p w14:paraId="2675F492" w14:textId="42708C38" w:rsidR="00C11946" w:rsidRPr="00E04E04" w:rsidRDefault="00873E9D" w:rsidP="00D0555F">
      <w:pPr>
        <w:ind w:left="426" w:hanging="426"/>
      </w:pPr>
      <w:r>
        <w:t xml:space="preserve">12. </w:t>
      </w:r>
      <w:r w:rsidR="00D0555F">
        <w:t xml:space="preserve"> </w:t>
      </w:r>
      <w:r w:rsidR="004F39AB" w:rsidRPr="00E04E04">
        <w:t>Anything else you want to tell us about any of the questions above?</w:t>
      </w:r>
    </w:p>
    <w:p w14:paraId="6E5D1B1F" w14:textId="72C00A4C" w:rsidR="00C11946" w:rsidRDefault="00873E9D" w:rsidP="00D0555F">
      <w:pPr>
        <w:ind w:left="426" w:hanging="426"/>
      </w:pPr>
      <w:r>
        <w:t xml:space="preserve">13. </w:t>
      </w:r>
      <w:r w:rsidR="00D0555F">
        <w:t xml:space="preserve"> </w:t>
      </w:r>
      <w:r w:rsidR="004F39AB" w:rsidRPr="00E04E04">
        <w:t>What is the name of your organisation? (This information is kept strictly confidential. You or your</w:t>
      </w:r>
      <w:r w:rsidR="00C11946" w:rsidRPr="00E04E04">
        <w:t xml:space="preserve"> </w:t>
      </w:r>
      <w:r w:rsidR="004F39AB" w:rsidRPr="00E04E04">
        <w:t>organisation will not be identified).</w:t>
      </w:r>
    </w:p>
    <w:p w14:paraId="47C9A46A" w14:textId="77777777" w:rsidR="00D0555F" w:rsidRPr="00E04E04" w:rsidRDefault="00D0555F" w:rsidP="00D0555F">
      <w:pPr>
        <w:ind w:left="426" w:hanging="426"/>
      </w:pPr>
    </w:p>
    <w:p w14:paraId="1403F98A" w14:textId="75785330" w:rsidR="00257218" w:rsidRPr="00E04E04" w:rsidRDefault="004F39AB" w:rsidP="00E04E04">
      <w:r w:rsidRPr="00E04E04">
        <w:rPr>
          <w:b/>
          <w:bCs/>
        </w:rPr>
        <w:t>Thank you for your input into this survey. Please do not hesitate to contact DANA if</w:t>
      </w:r>
      <w:r w:rsidR="00E04E04" w:rsidRPr="00E04E04">
        <w:rPr>
          <w:b/>
          <w:bCs/>
        </w:rPr>
        <w:t xml:space="preserve"> </w:t>
      </w:r>
      <w:r w:rsidRPr="00E04E04">
        <w:rPr>
          <w:b/>
          <w:bCs/>
        </w:rPr>
        <w:t>you have any further questions or input.</w:t>
      </w:r>
    </w:p>
    <w:p w14:paraId="7788D089" w14:textId="77777777" w:rsidR="00D0602A" w:rsidRPr="0010401D" w:rsidRDefault="00D0602A" w:rsidP="002457E7">
      <w:pPr>
        <w:rPr>
          <w:rFonts w:cs="Helvetica"/>
          <w:szCs w:val="22"/>
        </w:rPr>
      </w:pPr>
    </w:p>
    <w:sectPr w:rsidR="00D0602A" w:rsidRPr="0010401D" w:rsidSect="0062796B">
      <w:headerReference w:type="default" r:id="rId22"/>
      <w:footerReference w:type="even" r:id="rId23"/>
      <w:footerReference w:type="default" r:id="rId24"/>
      <w:pgSz w:w="11906" w:h="16838"/>
      <w:pgMar w:top="1440" w:right="1440" w:bottom="1440" w:left="1440" w:header="709" w:footer="55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B538" w14:textId="77777777" w:rsidR="003514D5" w:rsidRDefault="003514D5" w:rsidP="006219B6">
      <w:r>
        <w:separator/>
      </w:r>
    </w:p>
  </w:endnote>
  <w:endnote w:type="continuationSeparator" w:id="0">
    <w:p w14:paraId="3FE828AB" w14:textId="77777777" w:rsidR="003514D5" w:rsidRDefault="003514D5" w:rsidP="006219B6">
      <w:r>
        <w:continuationSeparator/>
      </w:r>
    </w:p>
  </w:endnote>
  <w:endnote w:type="continuationNotice" w:id="1">
    <w:p w14:paraId="1B3E5188" w14:textId="77777777" w:rsidR="003514D5" w:rsidRDefault="00351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cumin Pro Wide">
    <w:altName w:val="Calibri"/>
    <w:panose1 w:val="00000000000000000000"/>
    <w:charset w:val="4D"/>
    <w:family w:val="swiss"/>
    <w:notTrueType/>
    <w:pitch w:val="variable"/>
    <w:sig w:usb0="20000007" w:usb1="00000001" w:usb2="00000000" w:usb3="00000000" w:csb0="00000193" w:csb1="00000000"/>
  </w:font>
  <w:font w:name="Alexandria Light">
    <w:altName w:val="Times New Roman"/>
    <w:panose1 w:val="00000000000000000000"/>
    <w:charset w:val="00"/>
    <w:family w:val="auto"/>
    <w:pitch w:val="variable"/>
    <w:sig w:usb0="A00020FF" w:usb1="C000207B" w:usb2="00000008" w:usb3="00000000" w:csb0="000001D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7EB7" w14:textId="77777777" w:rsidR="00D064BD" w:rsidRDefault="00D064BD" w:rsidP="00CF38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46701C1" w14:textId="77777777" w:rsidR="00D064BD" w:rsidRDefault="00D064BD" w:rsidP="006219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cumin Pro Wide" w:hAnsi="Acumin Pro Wide"/>
        <w:color w:val="003149"/>
        <w:sz w:val="20"/>
        <w:szCs w:val="22"/>
      </w:rPr>
      <w:id w:val="675080136"/>
      <w:docPartObj>
        <w:docPartGallery w:val="Page Numbers (Bottom of Page)"/>
        <w:docPartUnique/>
      </w:docPartObj>
    </w:sdtPr>
    <w:sdtEndPr>
      <w:rPr>
        <w:rStyle w:val="PageNumber"/>
        <w:sz w:val="26"/>
        <w:szCs w:val="24"/>
      </w:rPr>
    </w:sdtEndPr>
    <w:sdtContent>
      <w:p w14:paraId="2D3B70AD" w14:textId="62761D8A" w:rsidR="00D064BD" w:rsidRPr="000F4900" w:rsidRDefault="00D064BD" w:rsidP="00CF3815">
        <w:pPr>
          <w:pStyle w:val="Footer"/>
          <w:framePr w:wrap="none" w:vAnchor="text" w:hAnchor="margin" w:xAlign="right" w:y="1"/>
          <w:rPr>
            <w:rStyle w:val="PageNumber"/>
            <w:rFonts w:ascii="Acumin Pro Wide" w:hAnsi="Acumin Pro Wide"/>
            <w:color w:val="003149"/>
            <w:sz w:val="20"/>
            <w:szCs w:val="22"/>
          </w:rPr>
        </w:pPr>
        <w:r w:rsidRPr="000F4900">
          <w:rPr>
            <w:rStyle w:val="PageNumber"/>
            <w:rFonts w:cs="Helvetica"/>
            <w:color w:val="003149"/>
            <w:sz w:val="20"/>
            <w:szCs w:val="22"/>
          </w:rPr>
          <w:fldChar w:fldCharType="begin"/>
        </w:r>
        <w:r w:rsidRPr="000F4900">
          <w:rPr>
            <w:rStyle w:val="PageNumber"/>
            <w:rFonts w:cs="Helvetica"/>
            <w:color w:val="003149"/>
            <w:sz w:val="20"/>
            <w:szCs w:val="22"/>
          </w:rPr>
          <w:instrText xml:space="preserve"> PAGE </w:instrText>
        </w:r>
        <w:r w:rsidRPr="000F4900">
          <w:rPr>
            <w:rStyle w:val="PageNumber"/>
            <w:rFonts w:cs="Helvetica"/>
            <w:color w:val="003149"/>
            <w:sz w:val="20"/>
            <w:szCs w:val="22"/>
          </w:rPr>
          <w:fldChar w:fldCharType="separate"/>
        </w:r>
        <w:r w:rsidR="00E01244">
          <w:rPr>
            <w:rStyle w:val="PageNumber"/>
            <w:rFonts w:cs="Helvetica"/>
            <w:noProof/>
            <w:color w:val="003149"/>
            <w:sz w:val="20"/>
            <w:szCs w:val="22"/>
          </w:rPr>
          <w:t>12</w:t>
        </w:r>
        <w:r w:rsidRPr="000F4900">
          <w:rPr>
            <w:rStyle w:val="PageNumber"/>
            <w:rFonts w:cs="Helvetica"/>
            <w:color w:val="003149"/>
            <w:sz w:val="20"/>
            <w:szCs w:val="22"/>
          </w:rPr>
          <w:fldChar w:fldCharType="end"/>
        </w:r>
      </w:p>
    </w:sdtContent>
  </w:sdt>
  <w:p w14:paraId="5C5E5C9C" w14:textId="7FB2CB22" w:rsidR="00D064BD" w:rsidRPr="000F4900" w:rsidRDefault="00D064BD" w:rsidP="00E723B3">
    <w:pPr>
      <w:pStyle w:val="Footer"/>
      <w:ind w:right="360"/>
      <w:rPr>
        <w:rFonts w:cs="Helvetica"/>
        <w:color w:val="003149"/>
        <w:spacing w:val="20"/>
        <w:sz w:val="20"/>
        <w:szCs w:val="20"/>
      </w:rPr>
    </w:pPr>
    <w:r w:rsidRPr="000F4900">
      <w:rPr>
        <w:rFonts w:eastAsia="Times New Roman" w:cs="Helvetica"/>
        <w:spacing w:val="20"/>
        <w:sz w:val="20"/>
        <w:szCs w:val="20"/>
      </w:rPr>
      <w:t>Intake Report |</w:t>
    </w:r>
    <w:r w:rsidR="00EA3030">
      <w:rPr>
        <w:rFonts w:eastAsia="Times New Roman" w:cs="Helvetica"/>
        <w:spacing w:val="20"/>
        <w:sz w:val="20"/>
        <w:szCs w:val="20"/>
      </w:rPr>
      <w:t xml:space="preserve"> October </w:t>
    </w:r>
    <w:r w:rsidRPr="000F4900">
      <w:rPr>
        <w:rFonts w:eastAsia="Times New Roman" w:cs="Helvetica"/>
        <w:spacing w:val="20"/>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537D" w14:textId="77777777" w:rsidR="003514D5" w:rsidRDefault="003514D5" w:rsidP="006219B6">
      <w:r>
        <w:separator/>
      </w:r>
    </w:p>
  </w:footnote>
  <w:footnote w:type="continuationSeparator" w:id="0">
    <w:p w14:paraId="59B974DA" w14:textId="77777777" w:rsidR="003514D5" w:rsidRDefault="003514D5" w:rsidP="006219B6">
      <w:r>
        <w:continuationSeparator/>
      </w:r>
    </w:p>
  </w:footnote>
  <w:footnote w:type="continuationNotice" w:id="1">
    <w:p w14:paraId="24F1B751" w14:textId="77777777" w:rsidR="003514D5" w:rsidRDefault="003514D5"/>
  </w:footnote>
  <w:footnote w:id="2">
    <w:p w14:paraId="0812067B" w14:textId="5FBA8460" w:rsidR="00D064BD" w:rsidRPr="003E377F" w:rsidRDefault="00D064BD" w:rsidP="00B86AE0">
      <w:pPr>
        <w:pStyle w:val="FootnoteText"/>
        <w:rPr>
          <w:lang w:val="en-US"/>
        </w:rPr>
      </w:pPr>
      <w:r>
        <w:rPr>
          <w:rStyle w:val="FootnoteReference"/>
        </w:rPr>
        <w:footnoteRef/>
      </w:r>
      <w:r>
        <w:t xml:space="preserve"> </w:t>
      </w:r>
      <w:r>
        <w:rPr>
          <w:lang w:val="en-US"/>
        </w:rPr>
        <w:t xml:space="preserve">The </w:t>
      </w:r>
      <w:r w:rsidRPr="00136141">
        <w:rPr>
          <w:i/>
          <w:iCs/>
          <w:lang w:val="en-US"/>
        </w:rPr>
        <w:t>Intake Reference Guide</w:t>
      </w:r>
      <w:r>
        <w:rPr>
          <w:lang w:val="en-US"/>
        </w:rPr>
        <w:t xml:space="preserve"> is now a resource of the National Centre for Disability Advocacy (NCDA).</w:t>
      </w:r>
    </w:p>
  </w:footnote>
  <w:footnote w:id="3">
    <w:p w14:paraId="3ED62FCE" w14:textId="343634FF" w:rsidR="00D064BD" w:rsidRPr="00331684" w:rsidRDefault="00D064BD" w:rsidP="00C13E2C">
      <w:pPr>
        <w:pStyle w:val="FootnoteText"/>
      </w:pPr>
      <w:r w:rsidRPr="008D1EFE">
        <w:rPr>
          <w:rStyle w:val="FootnoteReference"/>
          <w:szCs w:val="18"/>
        </w:rPr>
        <w:footnoteRef/>
      </w:r>
      <w:r w:rsidRPr="008D1EFE">
        <w:t xml:space="preserve"> </w:t>
      </w:r>
      <w:r>
        <w:t xml:space="preserve">Question 4: </w:t>
      </w:r>
      <w:r w:rsidRPr="008025A9">
        <w:t xml:space="preserve">“What is the total number of people that have contacted you inquiring for assistance in &lt;month&gt;, whether they became an advocacy client or not?” </w:t>
      </w:r>
    </w:p>
  </w:footnote>
  <w:footnote w:id="4">
    <w:p w14:paraId="30962281" w14:textId="1E9BD83B" w:rsidR="00D064BD" w:rsidRPr="00CD0EEB" w:rsidRDefault="00D064BD" w:rsidP="00C13E2C">
      <w:pPr>
        <w:pStyle w:val="FootnoteText"/>
      </w:pPr>
      <w:r w:rsidRPr="00C112B9">
        <w:rPr>
          <w:rStyle w:val="FootnoteReference"/>
        </w:rPr>
        <w:footnoteRef/>
      </w:r>
      <w:r w:rsidRPr="00C112B9">
        <w:t xml:space="preserve"> </w:t>
      </w:r>
      <w:r w:rsidRPr="00C112B9">
        <w:rPr>
          <w:szCs w:val="18"/>
        </w:rPr>
        <w:t>Program Specific Guidance for Commonwealth Agencies in the Data Exchange February 2023 at p</w:t>
      </w:r>
      <w:r>
        <w:rPr>
          <w:szCs w:val="18"/>
        </w:rPr>
        <w:t>age</w:t>
      </w:r>
      <w:r w:rsidRPr="00C112B9">
        <w:rPr>
          <w:szCs w:val="18"/>
        </w:rPr>
        <w:t xml:space="preserve"> 201 – see</w:t>
      </w:r>
      <w:r>
        <w:rPr>
          <w:szCs w:val="18"/>
        </w:rPr>
        <w:t xml:space="preserve"> </w:t>
      </w:r>
      <w:hyperlink r:id="rId1" w:history="1">
        <w:r w:rsidRPr="005466B4">
          <w:rPr>
            <w:rStyle w:val="Hyperlink"/>
            <w:szCs w:val="18"/>
          </w:rPr>
          <w:t>https://dex.dss.gov.au/sites/default/files/documents/2023-02/1851-program-specific-guidance.pdf</w:t>
        </w:r>
      </w:hyperlink>
      <w:r>
        <w:rPr>
          <w:rStyle w:val="Hyperlink"/>
          <w:szCs w:val="18"/>
        </w:rPr>
        <w:t xml:space="preserve">  </w:t>
      </w:r>
      <w:r w:rsidRPr="00CD0EEB">
        <w:t>DEX protocols only allow 5 per cent of clients to be recorded as unidentified in any reporting period. Often organisations will not record personal details of enquires in order to build psychological safety with the person. Therefore</w:t>
      </w:r>
      <w:r>
        <w:t>,</w:t>
      </w:r>
      <w:r w:rsidRPr="00CD0EEB">
        <w:t xml:space="preserve"> the actual volume of requests for advocacy is not accurately recorded through the DEX system. </w:t>
      </w:r>
    </w:p>
  </w:footnote>
  <w:footnote w:id="5">
    <w:p w14:paraId="2E7F8778" w14:textId="01F4C9AA" w:rsidR="00D064BD" w:rsidRPr="006C4718" w:rsidRDefault="00D064BD" w:rsidP="008025A9">
      <w:pPr>
        <w:pStyle w:val="FootnoteText"/>
        <w:spacing w:after="0"/>
      </w:pPr>
      <w:r w:rsidRPr="008025A9">
        <w:rPr>
          <w:rStyle w:val="FootnoteReference"/>
        </w:rPr>
        <w:footnoteRef/>
      </w:r>
      <w:r w:rsidRPr="008025A9">
        <w:rPr>
          <w:rStyle w:val="FootnoteReference"/>
        </w:rPr>
        <w:t xml:space="preserve"> </w:t>
      </w:r>
      <w:r w:rsidRPr="008025A9">
        <w:t>There is no DEX field for measurement of systemic data and this data may not be fully captured by organisations. Times given were estimates by organisations.</w:t>
      </w:r>
    </w:p>
  </w:footnote>
  <w:footnote w:id="6">
    <w:p w14:paraId="6D7CD32B" w14:textId="3C3A8ADD" w:rsidR="00D064BD" w:rsidRPr="00DC0AF9" w:rsidRDefault="00D064BD" w:rsidP="008025A9">
      <w:pPr>
        <w:pStyle w:val="FootnoteText"/>
      </w:pPr>
      <w:r w:rsidRPr="00DC0AF9">
        <w:rPr>
          <w:rStyle w:val="FootnoteReference"/>
          <w:szCs w:val="18"/>
        </w:rPr>
        <w:footnoteRef/>
      </w:r>
      <w:r w:rsidRPr="00DC0AF9">
        <w:t xml:space="preserve"> </w:t>
      </w:r>
      <w:r w:rsidRPr="00DC0AF9">
        <w:rPr>
          <w:lang w:eastAsia="en-AU"/>
        </w:rPr>
        <w:t xml:space="preserve">A specific referrals forum was deemed necessary as questions related to this were left out of the survey to keep it short and maximise engagement. </w:t>
      </w:r>
    </w:p>
  </w:footnote>
  <w:footnote w:id="7">
    <w:p w14:paraId="68BE0AE2" w14:textId="0F409902" w:rsidR="00D064BD" w:rsidRPr="007B736D" w:rsidRDefault="00D064BD" w:rsidP="007B736D">
      <w:pPr>
        <w:pStyle w:val="FootnoteText"/>
      </w:pPr>
      <w:r w:rsidRPr="006A0943">
        <w:rPr>
          <w:rStyle w:val="FootnoteReference"/>
          <w:szCs w:val="18"/>
        </w:rPr>
        <w:footnoteRef/>
      </w:r>
      <w:r w:rsidRPr="006A0943">
        <w:rPr>
          <w:rStyle w:val="FootnoteReference"/>
          <w:szCs w:val="18"/>
        </w:rPr>
        <w:t xml:space="preserve"> </w:t>
      </w:r>
      <w:r w:rsidRPr="007B736D">
        <w:t xml:space="preserve">The DEX protocols only allow </w:t>
      </w:r>
      <w:r w:rsidR="0015389E" w:rsidRPr="007B736D">
        <w:t>five</w:t>
      </w:r>
      <w:r w:rsidRPr="007B736D">
        <w:t xml:space="preserve"> per cent of clients to be recorded as unidentified in any reporting period. Therefore, the actual volume of requests for advocacy is not accurately recorded through the DEX system. Please see Program Specific Guidance for Commonwealth Agencies in the Data Exchange February 2023 at      p 201 - see </w:t>
      </w:r>
      <w:hyperlink r:id="rId2" w:history="1">
        <w:r w:rsidRPr="007B736D">
          <w:rPr>
            <w:rStyle w:val="Hyperlink"/>
            <w:color w:val="auto"/>
            <w:u w:val="none"/>
          </w:rPr>
          <w:t>https://dex.dss.gov.au/sites/default/files/documents/2023-02/1851-program-specific-guidance.pdf</w:t>
        </w:r>
      </w:hyperlink>
    </w:p>
  </w:footnote>
  <w:footnote w:id="8">
    <w:p w14:paraId="5DB48074" w14:textId="07B6EA21" w:rsidR="00D064BD" w:rsidRPr="007B736D" w:rsidRDefault="00D064BD" w:rsidP="007B736D">
      <w:pPr>
        <w:pStyle w:val="FootnoteText"/>
      </w:pPr>
      <w:r w:rsidRPr="006A0943">
        <w:rPr>
          <w:rStyle w:val="FootnoteReference"/>
          <w:szCs w:val="18"/>
        </w:rPr>
        <w:footnoteRef/>
      </w:r>
      <w:r w:rsidRPr="006A0943">
        <w:rPr>
          <w:rStyle w:val="FootnoteReference"/>
          <w:szCs w:val="18"/>
        </w:rPr>
        <w:t xml:space="preserve"> </w:t>
      </w:r>
      <w:r w:rsidRPr="007B736D">
        <w:t xml:space="preserve">There was a downward trend in data for December for people taken on as advocacy clients that implies a possible seasonal variation, however a longer period of research would be required to test this assumption. </w:t>
      </w:r>
    </w:p>
  </w:footnote>
  <w:footnote w:id="9">
    <w:p w14:paraId="70B0C1BF" w14:textId="40EA6265" w:rsidR="00D064BD" w:rsidRPr="00331684" w:rsidRDefault="00D064BD" w:rsidP="007B736D">
      <w:pPr>
        <w:pStyle w:val="FootnoteText"/>
      </w:pPr>
      <w:r w:rsidRPr="006A0943">
        <w:rPr>
          <w:rStyle w:val="FootnoteReference"/>
          <w:szCs w:val="18"/>
        </w:rPr>
        <w:footnoteRef/>
      </w:r>
      <w:r w:rsidRPr="006A0943">
        <w:rPr>
          <w:rStyle w:val="FootnoteReference"/>
          <w:szCs w:val="18"/>
        </w:rPr>
        <w:t xml:space="preserve"> </w:t>
      </w:r>
      <w:r w:rsidRPr="007B736D">
        <w:t>Question 4: “What is the total number of people that have contacted you inquiring for assistance in &lt;month&gt;, whether they became an advocacy client or not?”</w:t>
      </w:r>
      <w:r w:rsidRPr="008025A9">
        <w:t xml:space="preserve"> </w:t>
      </w:r>
    </w:p>
  </w:footnote>
  <w:footnote w:id="10">
    <w:p w14:paraId="4805B3E6" w14:textId="34CEB227" w:rsidR="00D064BD" w:rsidRPr="00C13E2C" w:rsidRDefault="00D064BD" w:rsidP="00C13E2C">
      <w:pPr>
        <w:pStyle w:val="FootnoteText"/>
      </w:pPr>
      <w:r w:rsidRPr="00C13E2C">
        <w:rPr>
          <w:rStyle w:val="FootnoteReference"/>
          <w:szCs w:val="18"/>
        </w:rPr>
        <w:footnoteRef/>
      </w:r>
      <w:r w:rsidR="00C13E2C">
        <w:rPr>
          <w:rStyle w:val="FootnoteReference"/>
          <w:szCs w:val="18"/>
        </w:rPr>
        <w:t xml:space="preserve"> </w:t>
      </w:r>
      <w:r w:rsidRPr="00C13E2C">
        <w:t xml:space="preserve">The </w:t>
      </w:r>
      <w:r w:rsidRPr="006A0943">
        <w:rPr>
          <w:i/>
          <w:iCs/>
        </w:rPr>
        <w:t>Intake Reference Guide</w:t>
      </w:r>
      <w:r w:rsidRPr="00C13E2C">
        <w:t xml:space="preserve"> is a resource for the sector written by DANA and now managed by the National Centre for Disability Advocacy (NCDA).</w:t>
      </w:r>
    </w:p>
  </w:footnote>
  <w:footnote w:id="11">
    <w:p w14:paraId="4FA3187C" w14:textId="3CF8AEBD" w:rsidR="00D064BD" w:rsidRPr="002675BA" w:rsidRDefault="00D064BD" w:rsidP="00C13E2C">
      <w:pPr>
        <w:pStyle w:val="FootnoteText"/>
      </w:pPr>
      <w:r w:rsidRPr="00C13E2C">
        <w:rPr>
          <w:rStyle w:val="FootnoteReference"/>
          <w:szCs w:val="18"/>
        </w:rPr>
        <w:footnoteRef/>
      </w:r>
      <w:r w:rsidRPr="00C13E2C">
        <w:rPr>
          <w:rStyle w:val="FootnoteReference"/>
          <w:szCs w:val="18"/>
        </w:rPr>
        <w:t xml:space="preserve"> </w:t>
      </w:r>
      <w:r w:rsidRPr="00C13E2C">
        <w:t xml:space="preserve">For an in-depth breakdown and flowchart of the advocacy intake process, see: National Centre for Disability Advocacy, May 2023, </w:t>
      </w:r>
      <w:r w:rsidRPr="006A0943">
        <w:rPr>
          <w:i/>
          <w:iCs/>
        </w:rPr>
        <w:t>Intake Reference Guide</w:t>
      </w:r>
      <w:r w:rsidRPr="00C13E2C">
        <w:t>, version 1.0, page 12.</w:t>
      </w:r>
    </w:p>
  </w:footnote>
  <w:footnote w:id="12">
    <w:p w14:paraId="14735092" w14:textId="6AAD2325" w:rsidR="00C13E2C" w:rsidRDefault="00C13E2C" w:rsidP="00C13E2C">
      <w:pPr>
        <w:pStyle w:val="FootnoteText"/>
      </w:pPr>
      <w:r>
        <w:rPr>
          <w:rStyle w:val="FootnoteReference"/>
        </w:rPr>
        <w:footnoteRef/>
      </w:r>
      <w:r>
        <w:t xml:space="preserve"> </w:t>
      </w:r>
      <w:r w:rsidRPr="009B3F71">
        <w:t>A person with disability who did not become an advocacy client may also have presented to another organisation to request advocacy assistance. Repeat contacts with multiple organisations is not captured in this data and was out of scope of this project.</w:t>
      </w:r>
    </w:p>
  </w:footnote>
  <w:footnote w:id="13">
    <w:p w14:paraId="2DC6F4EC" w14:textId="021707A8" w:rsidR="00D064BD" w:rsidRPr="008025A9" w:rsidRDefault="00D064BD" w:rsidP="00C13E2C">
      <w:pPr>
        <w:pStyle w:val="FootnoteText"/>
      </w:pPr>
      <w:r w:rsidRPr="008025A9">
        <w:rPr>
          <w:rStyle w:val="FootnoteReference"/>
        </w:rPr>
        <w:footnoteRef/>
      </w:r>
      <w:r w:rsidRPr="008025A9">
        <w:rPr>
          <w:rStyle w:val="FootnoteReference"/>
        </w:rPr>
        <w:t xml:space="preserve"> </w:t>
      </w:r>
      <w:r w:rsidR="009177A9">
        <w:t>Th</w:t>
      </w:r>
      <w:r w:rsidR="009177A9" w:rsidRPr="008025A9">
        <w:t>e lowest numbers were for December 2</w:t>
      </w:r>
      <w:r w:rsidR="009177A9">
        <w:t>021</w:t>
      </w:r>
      <w:r w:rsidR="009177A9" w:rsidRPr="008025A9">
        <w:t>, which may reflect possible seasonal variation in requests for advocacy</w:t>
      </w:r>
      <w:r w:rsidR="009177A9" w:rsidRPr="00901CB6">
        <w:t>,</w:t>
      </w:r>
      <w:r w:rsidR="009177A9">
        <w:t xml:space="preserve"> however a longer period of research would be required to test this assumption.</w:t>
      </w:r>
    </w:p>
  </w:footnote>
  <w:footnote w:id="14">
    <w:p w14:paraId="44AEC060" w14:textId="1E77A4B4" w:rsidR="00D064BD" w:rsidRPr="002817F3" w:rsidRDefault="00D064BD">
      <w:pPr>
        <w:pStyle w:val="FootnoteText"/>
        <w:rPr>
          <w:szCs w:val="18"/>
        </w:rPr>
      </w:pPr>
      <w:r w:rsidRPr="002817F3">
        <w:rPr>
          <w:rStyle w:val="FootnoteReference"/>
          <w:szCs w:val="18"/>
        </w:rPr>
        <w:footnoteRef/>
      </w:r>
      <w:r w:rsidRPr="002817F3">
        <w:rPr>
          <w:szCs w:val="18"/>
        </w:rPr>
        <w:t xml:space="preserve"> There was great disparity at this time in the ways in which organisations keep waiting lists, some did not keep waiting lists. There is now a requirement for NDAP funded organisations to keep waiting lists</w:t>
      </w:r>
      <w:r>
        <w:rPr>
          <w:szCs w:val="18"/>
        </w:rPr>
        <w:t>.</w:t>
      </w:r>
    </w:p>
  </w:footnote>
  <w:footnote w:id="15">
    <w:p w14:paraId="4362E750" w14:textId="2197BB35" w:rsidR="00FA2DAC" w:rsidRDefault="00FA2DAC">
      <w:pPr>
        <w:pStyle w:val="FootnoteText"/>
      </w:pPr>
      <w:r>
        <w:rPr>
          <w:rStyle w:val="FootnoteReference"/>
        </w:rPr>
        <w:footnoteRef/>
      </w:r>
      <w:r>
        <w:t xml:space="preserve"> </w:t>
      </w:r>
      <w:r w:rsidR="00C6704C">
        <w:t xml:space="preserve">The amount of time a person spends on a waitlist varies </w:t>
      </w:r>
      <w:r w:rsidR="00AF538A">
        <w:t>between organisations and funding streams, with some waitlists being up to 16 weeks.</w:t>
      </w:r>
      <w:r w:rsidR="00ED6068">
        <w:t xml:space="preserve"> </w:t>
      </w:r>
      <w:r w:rsidR="0052707F">
        <w:t xml:space="preserve">Waitlisting </w:t>
      </w:r>
      <w:r w:rsidR="003E1A67">
        <w:t>is a process to assist in managing unmet demand.</w:t>
      </w:r>
    </w:p>
  </w:footnote>
  <w:footnote w:id="16">
    <w:p w14:paraId="073AAB29" w14:textId="2A385E6B" w:rsidR="00D26038" w:rsidRDefault="00D26038">
      <w:pPr>
        <w:pStyle w:val="FootnoteText"/>
      </w:pPr>
      <w:r>
        <w:rPr>
          <w:rStyle w:val="FootnoteReference"/>
        </w:rPr>
        <w:footnoteRef/>
      </w:r>
      <w:r>
        <w:t xml:space="preserve"> </w:t>
      </w:r>
      <w:r w:rsidR="003E1A67">
        <w:t>The amount of time a person spends on a waitlist varies between organisations and funding streams, with some waitlists being up to 16 weeks. Waitlisting is a process to assist in managing unmet demand.</w:t>
      </w:r>
    </w:p>
  </w:footnote>
  <w:footnote w:id="17">
    <w:p w14:paraId="39B20AC3" w14:textId="17CBF7F0" w:rsidR="00031EC3" w:rsidRDefault="00031EC3" w:rsidP="00C13E2C">
      <w:pPr>
        <w:pStyle w:val="FootnoteText"/>
      </w:pPr>
      <w:r>
        <w:rPr>
          <w:rStyle w:val="FootnoteReference"/>
        </w:rPr>
        <w:footnoteRef/>
      </w:r>
      <w:r>
        <w:t xml:space="preserve"> </w:t>
      </w:r>
      <w:r w:rsidR="00D057C0">
        <w:t>The data</w:t>
      </w:r>
      <w:r w:rsidR="0086055B">
        <w:t xml:space="preserve"> does not differentiate how the number of days books were closed were calculated. Some include weekends, public holidays and shut down periods, while others do not.</w:t>
      </w:r>
    </w:p>
  </w:footnote>
  <w:footnote w:id="18">
    <w:p w14:paraId="11864C25" w14:textId="3394BC25" w:rsidR="00C6582E" w:rsidRDefault="00C6582E" w:rsidP="00C13E2C">
      <w:pPr>
        <w:pStyle w:val="FootnoteText"/>
      </w:pPr>
      <w:r>
        <w:rPr>
          <w:rStyle w:val="FootnoteReference"/>
        </w:rPr>
        <w:footnoteRef/>
      </w:r>
      <w:r>
        <w:t xml:space="preserve"> </w:t>
      </w:r>
      <w:r w:rsidR="004A79D5">
        <w:t>78 organisations were provided the survey 39 organisations responded.</w:t>
      </w:r>
    </w:p>
  </w:footnote>
  <w:footnote w:id="19">
    <w:p w14:paraId="2F0F53FC" w14:textId="46D14438" w:rsidR="00D064BD" w:rsidRPr="0084705B" w:rsidRDefault="00D064BD" w:rsidP="008025A9">
      <w:pPr>
        <w:pStyle w:val="FootnoteText"/>
        <w:spacing w:after="0"/>
      </w:pPr>
      <w:r w:rsidRPr="0084705B">
        <w:rPr>
          <w:rStyle w:val="FootnoteReference"/>
          <w:szCs w:val="18"/>
        </w:rPr>
        <w:footnoteRef/>
      </w:r>
      <w:r>
        <w:t xml:space="preserve"> Generally, these </w:t>
      </w:r>
      <w:r w:rsidRPr="0084705B">
        <w:t>people will not be counted in the DEX system due to the 5% unidentified rule</w:t>
      </w:r>
      <w:r>
        <w:t xml:space="preserve">. </w:t>
      </w:r>
    </w:p>
  </w:footnote>
  <w:footnote w:id="20">
    <w:p w14:paraId="7A15A403" w14:textId="6532E97D" w:rsidR="00D064BD" w:rsidRPr="00D464C9" w:rsidRDefault="00D064BD" w:rsidP="00C13E2C">
      <w:pPr>
        <w:pStyle w:val="FootnoteText"/>
      </w:pPr>
      <w:r>
        <w:rPr>
          <w:rStyle w:val="FootnoteReference"/>
        </w:rPr>
        <w:footnoteRef/>
      </w:r>
      <w:r>
        <w:t xml:space="preserve"> </w:t>
      </w:r>
      <w:r w:rsidRPr="00D464C9">
        <w:t>DANA Intake Survey response</w:t>
      </w:r>
      <w:r>
        <w:t>.</w:t>
      </w:r>
    </w:p>
  </w:footnote>
  <w:footnote w:id="21">
    <w:p w14:paraId="2B421382" w14:textId="6D3455BF" w:rsidR="00D064BD" w:rsidRDefault="00D064BD" w:rsidP="00C13E2C">
      <w:pPr>
        <w:pStyle w:val="FootnoteText"/>
      </w:pPr>
      <w:r w:rsidRPr="00D464C9">
        <w:rPr>
          <w:rStyle w:val="FootnoteReference"/>
          <w:szCs w:val="18"/>
        </w:rPr>
        <w:footnoteRef/>
      </w:r>
      <w:r w:rsidRPr="00D464C9">
        <w:rPr>
          <w:szCs w:val="18"/>
        </w:rPr>
        <w:t xml:space="preserve"> DANA Intake Survey response</w:t>
      </w:r>
      <w:r>
        <w:rPr>
          <w:szCs w:val="18"/>
        </w:rPr>
        <w:t>.</w:t>
      </w:r>
    </w:p>
  </w:footnote>
  <w:footnote w:id="22">
    <w:p w14:paraId="20F324FD" w14:textId="572713CA" w:rsidR="00D064BD" w:rsidRPr="00D464C9" w:rsidRDefault="00D064BD" w:rsidP="00C13E2C">
      <w:pPr>
        <w:pStyle w:val="FootnoteText"/>
        <w:rPr>
          <w:szCs w:val="18"/>
        </w:rPr>
      </w:pPr>
      <w:r w:rsidRPr="00D464C9">
        <w:rPr>
          <w:rStyle w:val="FootnoteReference"/>
          <w:szCs w:val="18"/>
        </w:rPr>
        <w:footnoteRef/>
      </w:r>
      <w:r w:rsidRPr="00D464C9">
        <w:rPr>
          <w:szCs w:val="18"/>
        </w:rPr>
        <w:t xml:space="preserve"> DANA Intake Survey response</w:t>
      </w:r>
      <w:r>
        <w:rPr>
          <w:szCs w:val="18"/>
        </w:rPr>
        <w:t>.</w:t>
      </w:r>
    </w:p>
  </w:footnote>
  <w:footnote w:id="23">
    <w:p w14:paraId="2ADED1AE" w14:textId="112F19B5" w:rsidR="00D064BD" w:rsidRDefault="00D064BD" w:rsidP="00C13E2C">
      <w:pPr>
        <w:pStyle w:val="FootnoteText"/>
      </w:pPr>
      <w:r w:rsidRPr="000A0EBA">
        <w:rPr>
          <w:rStyle w:val="FootnoteReference"/>
          <w:szCs w:val="18"/>
        </w:rPr>
        <w:footnoteRef/>
      </w:r>
      <w:bookmarkStart w:id="55" w:name="_Hlk111357393"/>
      <w:r>
        <w:rPr>
          <w:szCs w:val="18"/>
        </w:rPr>
        <w:t xml:space="preserve"> </w:t>
      </w:r>
      <w:r w:rsidRPr="000A0EBA">
        <w:rPr>
          <w:szCs w:val="18"/>
        </w:rPr>
        <w:t>DANA Intake Survey response</w:t>
      </w:r>
      <w:bookmarkEnd w:id="55"/>
      <w:r>
        <w:rPr>
          <w:szCs w:val="18"/>
        </w:rPr>
        <w:t>.</w:t>
      </w:r>
    </w:p>
  </w:footnote>
  <w:footnote w:id="24">
    <w:p w14:paraId="20CD13D2" w14:textId="0F715770" w:rsidR="00D064BD" w:rsidRPr="002D08F7" w:rsidRDefault="00D064BD" w:rsidP="00C13E2C">
      <w:pPr>
        <w:pStyle w:val="FootnoteText"/>
        <w:ind w:right="-188"/>
      </w:pPr>
      <w:r>
        <w:rPr>
          <w:rStyle w:val="FootnoteReference"/>
        </w:rPr>
        <w:footnoteRef/>
      </w:r>
      <w:r w:rsidR="00C13E2C">
        <w:t xml:space="preserve"> </w:t>
      </w:r>
      <w:r>
        <w:t xml:space="preserve">Queensland Advocacy for Inclusion, 30 June 2022, </w:t>
      </w:r>
      <w:r>
        <w:rPr>
          <w:i/>
          <w:iCs/>
        </w:rPr>
        <w:t xml:space="preserve">Analysis of NDIS Appeals, </w:t>
      </w:r>
      <w:r>
        <w:t xml:space="preserve">Prepared for the Department of Seniors, Disability Services and Aboriginal and Torres Strait Islander Partnerships, </w:t>
      </w:r>
      <w:hyperlink r:id="rId3" w:history="1">
        <w:r w:rsidRPr="00495741">
          <w:rPr>
            <w:rStyle w:val="Hyperlink"/>
          </w:rPr>
          <w:t>https://qai.org.au/wp-content/uploads/2022/08/20220804_QAI-Report-for-DATSIP_NDIS-Appeals-AAT_Final-for-Publication.pdf</w:t>
        </w:r>
      </w:hyperlink>
      <w:r>
        <w:t xml:space="preserve"> page 10.</w:t>
      </w:r>
    </w:p>
  </w:footnote>
  <w:footnote w:id="25">
    <w:p w14:paraId="580D317B" w14:textId="56F9E8C1" w:rsidR="00D064BD" w:rsidRDefault="00D064BD" w:rsidP="00C13E2C">
      <w:pPr>
        <w:pStyle w:val="FootnoteText"/>
      </w:pPr>
      <w:r>
        <w:rPr>
          <w:rStyle w:val="FootnoteReference"/>
        </w:rPr>
        <w:footnoteRef/>
      </w:r>
      <w:r>
        <w:t xml:space="preserve"> DANA Intake Survey response.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547A" w14:textId="77777777" w:rsidR="00D064BD" w:rsidRDefault="00D064BD" w:rsidP="006219B6">
    <w:pPr>
      <w:pStyle w:val="Header"/>
    </w:pPr>
  </w:p>
  <w:p w14:paraId="00F8B36D" w14:textId="77777777" w:rsidR="00D064BD" w:rsidRDefault="00D064BD" w:rsidP="00621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23C"/>
    <w:multiLevelType w:val="hybridMultilevel"/>
    <w:tmpl w:val="0FF0D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176CE1"/>
    <w:multiLevelType w:val="hybridMultilevel"/>
    <w:tmpl w:val="06740482"/>
    <w:lvl w:ilvl="0" w:tplc="50D09DAA">
      <w:start w:val="1"/>
      <w:numFmt w:val="decimal"/>
      <w:lvlText w:val="%1."/>
      <w:lvlJc w:val="left"/>
      <w:pPr>
        <w:ind w:left="1080" w:hanging="360"/>
      </w:pPr>
      <w:rPr>
        <w:rFonts w:cstheme="minorBidi"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2E604C"/>
    <w:multiLevelType w:val="hybridMultilevel"/>
    <w:tmpl w:val="207ED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B37079"/>
    <w:multiLevelType w:val="hybridMultilevel"/>
    <w:tmpl w:val="26BC4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47639E"/>
    <w:multiLevelType w:val="hybridMultilevel"/>
    <w:tmpl w:val="A4D8A38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1A5EDC"/>
    <w:multiLevelType w:val="hybridMultilevel"/>
    <w:tmpl w:val="4DAAF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7053B7"/>
    <w:multiLevelType w:val="hybridMultilevel"/>
    <w:tmpl w:val="B32406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0F7F83"/>
    <w:multiLevelType w:val="hybridMultilevel"/>
    <w:tmpl w:val="1688D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131D59"/>
    <w:multiLevelType w:val="hybridMultilevel"/>
    <w:tmpl w:val="100AA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143520"/>
    <w:multiLevelType w:val="hybridMultilevel"/>
    <w:tmpl w:val="93F22702"/>
    <w:lvl w:ilvl="0" w:tplc="08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5FC2865"/>
    <w:multiLevelType w:val="hybridMultilevel"/>
    <w:tmpl w:val="CC08DA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290338"/>
    <w:multiLevelType w:val="hybridMultilevel"/>
    <w:tmpl w:val="49A6F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F632E2"/>
    <w:multiLevelType w:val="hybridMultilevel"/>
    <w:tmpl w:val="DC2AD8C6"/>
    <w:lvl w:ilvl="0" w:tplc="74A8AAF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71061A"/>
    <w:multiLevelType w:val="hybridMultilevel"/>
    <w:tmpl w:val="72361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E2577D"/>
    <w:multiLevelType w:val="hybridMultilevel"/>
    <w:tmpl w:val="083C3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9361F3"/>
    <w:multiLevelType w:val="hybridMultilevel"/>
    <w:tmpl w:val="27EE5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20501A"/>
    <w:multiLevelType w:val="hybridMultilevel"/>
    <w:tmpl w:val="50A2DD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2F1114"/>
    <w:multiLevelType w:val="hybridMultilevel"/>
    <w:tmpl w:val="C5B41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983C18"/>
    <w:multiLevelType w:val="hybridMultilevel"/>
    <w:tmpl w:val="24A4ECAA"/>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342DD4"/>
    <w:multiLevelType w:val="hybridMultilevel"/>
    <w:tmpl w:val="B23089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B283ACF"/>
    <w:multiLevelType w:val="hybridMultilevel"/>
    <w:tmpl w:val="8A52D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284F5A"/>
    <w:multiLevelType w:val="hybridMultilevel"/>
    <w:tmpl w:val="FB708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5A3BDC"/>
    <w:multiLevelType w:val="hybridMultilevel"/>
    <w:tmpl w:val="6B808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845E2D"/>
    <w:multiLevelType w:val="hybridMultilevel"/>
    <w:tmpl w:val="6666D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C800E4"/>
    <w:multiLevelType w:val="hybridMultilevel"/>
    <w:tmpl w:val="C93E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9830C9"/>
    <w:multiLevelType w:val="hybridMultilevel"/>
    <w:tmpl w:val="E392F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741206"/>
    <w:multiLevelType w:val="hybridMultilevel"/>
    <w:tmpl w:val="50A4F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A1557B"/>
    <w:multiLevelType w:val="hybridMultilevel"/>
    <w:tmpl w:val="1592E4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170A3D"/>
    <w:multiLevelType w:val="hybridMultilevel"/>
    <w:tmpl w:val="A4D8A38A"/>
    <w:lvl w:ilvl="0" w:tplc="0C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7887010"/>
    <w:multiLevelType w:val="hybridMultilevel"/>
    <w:tmpl w:val="9EDCEB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3D1728"/>
    <w:multiLevelType w:val="hybridMultilevel"/>
    <w:tmpl w:val="D9F08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3F5A18"/>
    <w:multiLevelType w:val="hybridMultilevel"/>
    <w:tmpl w:val="43323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F6492B"/>
    <w:multiLevelType w:val="hybridMultilevel"/>
    <w:tmpl w:val="45F889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57D6D61"/>
    <w:multiLevelType w:val="hybridMultilevel"/>
    <w:tmpl w:val="03121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FE22D9"/>
    <w:multiLevelType w:val="hybridMultilevel"/>
    <w:tmpl w:val="881AF4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AAA6A56"/>
    <w:multiLevelType w:val="hybridMultilevel"/>
    <w:tmpl w:val="88F0D312"/>
    <w:lvl w:ilvl="0" w:tplc="8CE6C0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D2D4E87"/>
    <w:multiLevelType w:val="hybridMultilevel"/>
    <w:tmpl w:val="915E4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316D58"/>
    <w:multiLevelType w:val="hybridMultilevel"/>
    <w:tmpl w:val="1F7C5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2D22E4"/>
    <w:multiLevelType w:val="hybridMultilevel"/>
    <w:tmpl w:val="8BFEFE7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F36420A"/>
    <w:multiLevelType w:val="hybridMultilevel"/>
    <w:tmpl w:val="76B6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AD78D5"/>
    <w:multiLevelType w:val="hybridMultilevel"/>
    <w:tmpl w:val="B52CF6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945D9F"/>
    <w:multiLevelType w:val="hybridMultilevel"/>
    <w:tmpl w:val="88F0D3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77C1F0D"/>
    <w:multiLevelType w:val="hybridMultilevel"/>
    <w:tmpl w:val="DA22C1D8"/>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BAA78C4"/>
    <w:multiLevelType w:val="hybridMultilevel"/>
    <w:tmpl w:val="B900D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62766C"/>
    <w:multiLevelType w:val="hybridMultilevel"/>
    <w:tmpl w:val="33A6C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943649"/>
    <w:multiLevelType w:val="hybridMultilevel"/>
    <w:tmpl w:val="6D62B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F966EC1"/>
    <w:multiLevelType w:val="hybridMultilevel"/>
    <w:tmpl w:val="72C20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0428645">
    <w:abstractNumId w:val="28"/>
  </w:num>
  <w:num w:numId="2" w16cid:durableId="2097163767">
    <w:abstractNumId w:val="14"/>
  </w:num>
  <w:num w:numId="3" w16cid:durableId="1048263402">
    <w:abstractNumId w:val="44"/>
  </w:num>
  <w:num w:numId="4" w16cid:durableId="1927957419">
    <w:abstractNumId w:val="4"/>
  </w:num>
  <w:num w:numId="5" w16cid:durableId="369651698">
    <w:abstractNumId w:val="32"/>
  </w:num>
  <w:num w:numId="6" w16cid:durableId="255526857">
    <w:abstractNumId w:val="35"/>
  </w:num>
  <w:num w:numId="7" w16cid:durableId="1817533047">
    <w:abstractNumId w:val="41"/>
  </w:num>
  <w:num w:numId="8" w16cid:durableId="1829125206">
    <w:abstractNumId w:val="13"/>
  </w:num>
  <w:num w:numId="9" w16cid:durableId="1131901324">
    <w:abstractNumId w:val="8"/>
  </w:num>
  <w:num w:numId="10" w16cid:durableId="1625119292">
    <w:abstractNumId w:val="31"/>
  </w:num>
  <w:num w:numId="11" w16cid:durableId="1704132932">
    <w:abstractNumId w:val="21"/>
  </w:num>
  <w:num w:numId="12" w16cid:durableId="2128700684">
    <w:abstractNumId w:val="46"/>
  </w:num>
  <w:num w:numId="13" w16cid:durableId="502285006">
    <w:abstractNumId w:val="3"/>
  </w:num>
  <w:num w:numId="14" w16cid:durableId="617300432">
    <w:abstractNumId w:val="20"/>
  </w:num>
  <w:num w:numId="15" w16cid:durableId="1833906858">
    <w:abstractNumId w:val="42"/>
  </w:num>
  <w:num w:numId="16" w16cid:durableId="519583166">
    <w:abstractNumId w:val="9"/>
  </w:num>
  <w:num w:numId="17" w16cid:durableId="1956861446">
    <w:abstractNumId w:val="33"/>
  </w:num>
  <w:num w:numId="18" w16cid:durableId="1657492054">
    <w:abstractNumId w:val="40"/>
  </w:num>
  <w:num w:numId="19" w16cid:durableId="1766874308">
    <w:abstractNumId w:val="23"/>
  </w:num>
  <w:num w:numId="20" w16cid:durableId="1438405618">
    <w:abstractNumId w:val="18"/>
  </w:num>
  <w:num w:numId="21" w16cid:durableId="600727894">
    <w:abstractNumId w:val="0"/>
  </w:num>
  <w:num w:numId="22" w16cid:durableId="1070154655">
    <w:abstractNumId w:val="29"/>
  </w:num>
  <w:num w:numId="23" w16cid:durableId="1578513443">
    <w:abstractNumId w:val="16"/>
  </w:num>
  <w:num w:numId="24" w16cid:durableId="756289521">
    <w:abstractNumId w:val="12"/>
  </w:num>
  <w:num w:numId="25" w16cid:durableId="540554980">
    <w:abstractNumId w:val="38"/>
  </w:num>
  <w:num w:numId="26" w16cid:durableId="1670063467">
    <w:abstractNumId w:val="24"/>
  </w:num>
  <w:num w:numId="27" w16cid:durableId="832528121">
    <w:abstractNumId w:val="30"/>
  </w:num>
  <w:num w:numId="28" w16cid:durableId="2112815943">
    <w:abstractNumId w:val="5"/>
  </w:num>
  <w:num w:numId="29" w16cid:durableId="782456112">
    <w:abstractNumId w:val="1"/>
  </w:num>
  <w:num w:numId="30" w16cid:durableId="120420424">
    <w:abstractNumId w:val="39"/>
  </w:num>
  <w:num w:numId="31" w16cid:durableId="1048144798">
    <w:abstractNumId w:val="45"/>
  </w:num>
  <w:num w:numId="32" w16cid:durableId="1449349274">
    <w:abstractNumId w:val="25"/>
  </w:num>
  <w:num w:numId="33" w16cid:durableId="511379350">
    <w:abstractNumId w:val="10"/>
  </w:num>
  <w:num w:numId="34" w16cid:durableId="367949100">
    <w:abstractNumId w:val="34"/>
  </w:num>
  <w:num w:numId="35" w16cid:durableId="2106228213">
    <w:abstractNumId w:val="27"/>
  </w:num>
  <w:num w:numId="36" w16cid:durableId="1286352885">
    <w:abstractNumId w:val="6"/>
  </w:num>
  <w:num w:numId="37" w16cid:durableId="2075931986">
    <w:abstractNumId w:val="37"/>
  </w:num>
  <w:num w:numId="38" w16cid:durableId="639725964">
    <w:abstractNumId w:val="19"/>
  </w:num>
  <w:num w:numId="39" w16cid:durableId="1279989009">
    <w:abstractNumId w:val="11"/>
  </w:num>
  <w:num w:numId="40" w16cid:durableId="684475171">
    <w:abstractNumId w:val="7"/>
  </w:num>
  <w:num w:numId="41" w16cid:durableId="1234437186">
    <w:abstractNumId w:val="43"/>
  </w:num>
  <w:num w:numId="42" w16cid:durableId="2087609731">
    <w:abstractNumId w:val="26"/>
  </w:num>
  <w:num w:numId="43" w16cid:durableId="391389877">
    <w:abstractNumId w:val="36"/>
  </w:num>
  <w:num w:numId="44" w16cid:durableId="689840421">
    <w:abstractNumId w:val="17"/>
  </w:num>
  <w:num w:numId="45" w16cid:durableId="1926957876">
    <w:abstractNumId w:val="22"/>
  </w:num>
  <w:num w:numId="46" w16cid:durableId="1558666769">
    <w:abstractNumId w:val="15"/>
  </w:num>
  <w:num w:numId="47" w16cid:durableId="862130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9B6"/>
    <w:rsid w:val="00000AF5"/>
    <w:rsid w:val="00000E40"/>
    <w:rsid w:val="00002B78"/>
    <w:rsid w:val="00002BDD"/>
    <w:rsid w:val="00003502"/>
    <w:rsid w:val="00003BE3"/>
    <w:rsid w:val="00004C6C"/>
    <w:rsid w:val="00005C00"/>
    <w:rsid w:val="000069EC"/>
    <w:rsid w:val="00006C4F"/>
    <w:rsid w:val="00007A28"/>
    <w:rsid w:val="00010364"/>
    <w:rsid w:val="00010A3C"/>
    <w:rsid w:val="00012693"/>
    <w:rsid w:val="00013BC6"/>
    <w:rsid w:val="00013FED"/>
    <w:rsid w:val="0001417D"/>
    <w:rsid w:val="00014336"/>
    <w:rsid w:val="00014E1D"/>
    <w:rsid w:val="00015AC5"/>
    <w:rsid w:val="00016106"/>
    <w:rsid w:val="000171AE"/>
    <w:rsid w:val="000200E0"/>
    <w:rsid w:val="000205EB"/>
    <w:rsid w:val="00021FE4"/>
    <w:rsid w:val="000228B2"/>
    <w:rsid w:val="0002385A"/>
    <w:rsid w:val="0002410A"/>
    <w:rsid w:val="000249D1"/>
    <w:rsid w:val="00024ABE"/>
    <w:rsid w:val="000300F5"/>
    <w:rsid w:val="0003191A"/>
    <w:rsid w:val="00031EC3"/>
    <w:rsid w:val="00031EE4"/>
    <w:rsid w:val="00032099"/>
    <w:rsid w:val="00032BD7"/>
    <w:rsid w:val="0003386B"/>
    <w:rsid w:val="000341BD"/>
    <w:rsid w:val="000348EF"/>
    <w:rsid w:val="00035823"/>
    <w:rsid w:val="000365D4"/>
    <w:rsid w:val="00036B9C"/>
    <w:rsid w:val="00037275"/>
    <w:rsid w:val="0004029E"/>
    <w:rsid w:val="0004183A"/>
    <w:rsid w:val="000442F4"/>
    <w:rsid w:val="000450E5"/>
    <w:rsid w:val="00045FFA"/>
    <w:rsid w:val="00046960"/>
    <w:rsid w:val="00050043"/>
    <w:rsid w:val="0005068E"/>
    <w:rsid w:val="00050A92"/>
    <w:rsid w:val="000520E1"/>
    <w:rsid w:val="00052618"/>
    <w:rsid w:val="00053764"/>
    <w:rsid w:val="000568C6"/>
    <w:rsid w:val="00056E0D"/>
    <w:rsid w:val="0005788C"/>
    <w:rsid w:val="00057B55"/>
    <w:rsid w:val="00057BAA"/>
    <w:rsid w:val="0006206D"/>
    <w:rsid w:val="00062711"/>
    <w:rsid w:val="000726AC"/>
    <w:rsid w:val="0007346C"/>
    <w:rsid w:val="00073DF8"/>
    <w:rsid w:val="00075D3F"/>
    <w:rsid w:val="00077D8C"/>
    <w:rsid w:val="00080293"/>
    <w:rsid w:val="00081DFC"/>
    <w:rsid w:val="00081ED1"/>
    <w:rsid w:val="0008209B"/>
    <w:rsid w:val="000826B9"/>
    <w:rsid w:val="00082C4D"/>
    <w:rsid w:val="00083AC4"/>
    <w:rsid w:val="000856C1"/>
    <w:rsid w:val="00085956"/>
    <w:rsid w:val="00085A53"/>
    <w:rsid w:val="00086DA3"/>
    <w:rsid w:val="00087E03"/>
    <w:rsid w:val="00090C95"/>
    <w:rsid w:val="00090E9A"/>
    <w:rsid w:val="00092395"/>
    <w:rsid w:val="000934C7"/>
    <w:rsid w:val="00094B76"/>
    <w:rsid w:val="00094C5B"/>
    <w:rsid w:val="0009533A"/>
    <w:rsid w:val="00095F31"/>
    <w:rsid w:val="0009611D"/>
    <w:rsid w:val="0009625D"/>
    <w:rsid w:val="00096D25"/>
    <w:rsid w:val="00096EEC"/>
    <w:rsid w:val="00096FB4"/>
    <w:rsid w:val="00097F0F"/>
    <w:rsid w:val="000A01ED"/>
    <w:rsid w:val="000A0664"/>
    <w:rsid w:val="000A06A2"/>
    <w:rsid w:val="000A1EFF"/>
    <w:rsid w:val="000A25BE"/>
    <w:rsid w:val="000A36D4"/>
    <w:rsid w:val="000A3EC5"/>
    <w:rsid w:val="000A4846"/>
    <w:rsid w:val="000A6343"/>
    <w:rsid w:val="000A6746"/>
    <w:rsid w:val="000A6980"/>
    <w:rsid w:val="000A6E87"/>
    <w:rsid w:val="000A74E4"/>
    <w:rsid w:val="000B0900"/>
    <w:rsid w:val="000B0C45"/>
    <w:rsid w:val="000B0D47"/>
    <w:rsid w:val="000B11CF"/>
    <w:rsid w:val="000B14A7"/>
    <w:rsid w:val="000B1A40"/>
    <w:rsid w:val="000B45B7"/>
    <w:rsid w:val="000B4FD6"/>
    <w:rsid w:val="000B7728"/>
    <w:rsid w:val="000C21BD"/>
    <w:rsid w:val="000C4A00"/>
    <w:rsid w:val="000C4BE8"/>
    <w:rsid w:val="000C5A76"/>
    <w:rsid w:val="000C604F"/>
    <w:rsid w:val="000C62B0"/>
    <w:rsid w:val="000D0150"/>
    <w:rsid w:val="000D179A"/>
    <w:rsid w:val="000D51BA"/>
    <w:rsid w:val="000D627C"/>
    <w:rsid w:val="000D7406"/>
    <w:rsid w:val="000E028A"/>
    <w:rsid w:val="000E0459"/>
    <w:rsid w:val="000E0DD5"/>
    <w:rsid w:val="000E14CB"/>
    <w:rsid w:val="000E221D"/>
    <w:rsid w:val="000E2B41"/>
    <w:rsid w:val="000E5FB0"/>
    <w:rsid w:val="000E6E0B"/>
    <w:rsid w:val="000E7E35"/>
    <w:rsid w:val="000F1307"/>
    <w:rsid w:val="000F137F"/>
    <w:rsid w:val="000F21AF"/>
    <w:rsid w:val="000F26A4"/>
    <w:rsid w:val="000F287A"/>
    <w:rsid w:val="000F3C59"/>
    <w:rsid w:val="000F4655"/>
    <w:rsid w:val="000F4900"/>
    <w:rsid w:val="000F576E"/>
    <w:rsid w:val="000F5981"/>
    <w:rsid w:val="00101985"/>
    <w:rsid w:val="00101C55"/>
    <w:rsid w:val="0010401D"/>
    <w:rsid w:val="001051FA"/>
    <w:rsid w:val="001059B3"/>
    <w:rsid w:val="001062B7"/>
    <w:rsid w:val="00106EE3"/>
    <w:rsid w:val="0011070B"/>
    <w:rsid w:val="00110B87"/>
    <w:rsid w:val="001112BA"/>
    <w:rsid w:val="001114C5"/>
    <w:rsid w:val="00111D7F"/>
    <w:rsid w:val="00113A8C"/>
    <w:rsid w:val="00113D49"/>
    <w:rsid w:val="00113DEE"/>
    <w:rsid w:val="0011402C"/>
    <w:rsid w:val="00114DBB"/>
    <w:rsid w:val="00115DC8"/>
    <w:rsid w:val="001161A4"/>
    <w:rsid w:val="00116BEA"/>
    <w:rsid w:val="0011710A"/>
    <w:rsid w:val="001216BB"/>
    <w:rsid w:val="0012185A"/>
    <w:rsid w:val="0012271D"/>
    <w:rsid w:val="00123B03"/>
    <w:rsid w:val="00123E5F"/>
    <w:rsid w:val="00124945"/>
    <w:rsid w:val="00124E8B"/>
    <w:rsid w:val="00125B2F"/>
    <w:rsid w:val="00126239"/>
    <w:rsid w:val="00126B08"/>
    <w:rsid w:val="00126F2A"/>
    <w:rsid w:val="00127055"/>
    <w:rsid w:val="00127E89"/>
    <w:rsid w:val="001311F0"/>
    <w:rsid w:val="001321E4"/>
    <w:rsid w:val="00132530"/>
    <w:rsid w:val="001327B4"/>
    <w:rsid w:val="0013325B"/>
    <w:rsid w:val="00133BB8"/>
    <w:rsid w:val="00134560"/>
    <w:rsid w:val="00136141"/>
    <w:rsid w:val="001366FF"/>
    <w:rsid w:val="001413D8"/>
    <w:rsid w:val="00141561"/>
    <w:rsid w:val="001415A2"/>
    <w:rsid w:val="001428F7"/>
    <w:rsid w:val="00143C7E"/>
    <w:rsid w:val="00146F3E"/>
    <w:rsid w:val="00147BB3"/>
    <w:rsid w:val="00147C3B"/>
    <w:rsid w:val="001500C4"/>
    <w:rsid w:val="00151361"/>
    <w:rsid w:val="001529A0"/>
    <w:rsid w:val="0015334B"/>
    <w:rsid w:val="00153715"/>
    <w:rsid w:val="0015389E"/>
    <w:rsid w:val="001538B6"/>
    <w:rsid w:val="00154001"/>
    <w:rsid w:val="00156A63"/>
    <w:rsid w:val="00156C94"/>
    <w:rsid w:val="00156D2E"/>
    <w:rsid w:val="00156FB6"/>
    <w:rsid w:val="001576A9"/>
    <w:rsid w:val="00157E78"/>
    <w:rsid w:val="00161B31"/>
    <w:rsid w:val="00162BA8"/>
    <w:rsid w:val="0016487B"/>
    <w:rsid w:val="00165688"/>
    <w:rsid w:val="001668A4"/>
    <w:rsid w:val="00166AFE"/>
    <w:rsid w:val="00167571"/>
    <w:rsid w:val="00167627"/>
    <w:rsid w:val="00167E7D"/>
    <w:rsid w:val="00170674"/>
    <w:rsid w:val="00172AB1"/>
    <w:rsid w:val="001731B2"/>
    <w:rsid w:val="00173B6F"/>
    <w:rsid w:val="00173DF3"/>
    <w:rsid w:val="001758CA"/>
    <w:rsid w:val="00175934"/>
    <w:rsid w:val="00175F87"/>
    <w:rsid w:val="001763D6"/>
    <w:rsid w:val="00176B81"/>
    <w:rsid w:val="00177F35"/>
    <w:rsid w:val="001812C9"/>
    <w:rsid w:val="00181B27"/>
    <w:rsid w:val="00182574"/>
    <w:rsid w:val="0018271F"/>
    <w:rsid w:val="00183C01"/>
    <w:rsid w:val="00184ABA"/>
    <w:rsid w:val="0018552B"/>
    <w:rsid w:val="001857F2"/>
    <w:rsid w:val="00190E8F"/>
    <w:rsid w:val="0019124D"/>
    <w:rsid w:val="00191A59"/>
    <w:rsid w:val="00191CD1"/>
    <w:rsid w:val="00191DAD"/>
    <w:rsid w:val="0019428B"/>
    <w:rsid w:val="00195022"/>
    <w:rsid w:val="0019516B"/>
    <w:rsid w:val="00195EEB"/>
    <w:rsid w:val="00197B8C"/>
    <w:rsid w:val="00197FA7"/>
    <w:rsid w:val="001A09CD"/>
    <w:rsid w:val="001A1866"/>
    <w:rsid w:val="001A1B14"/>
    <w:rsid w:val="001A315B"/>
    <w:rsid w:val="001A3ADB"/>
    <w:rsid w:val="001A4C84"/>
    <w:rsid w:val="001A6106"/>
    <w:rsid w:val="001A6376"/>
    <w:rsid w:val="001A6661"/>
    <w:rsid w:val="001A6AA3"/>
    <w:rsid w:val="001B06F4"/>
    <w:rsid w:val="001B0C14"/>
    <w:rsid w:val="001B0D72"/>
    <w:rsid w:val="001B1B16"/>
    <w:rsid w:val="001B2CBB"/>
    <w:rsid w:val="001B2D5B"/>
    <w:rsid w:val="001B3625"/>
    <w:rsid w:val="001B4033"/>
    <w:rsid w:val="001B42AA"/>
    <w:rsid w:val="001B501A"/>
    <w:rsid w:val="001B51AE"/>
    <w:rsid w:val="001B51FC"/>
    <w:rsid w:val="001B578D"/>
    <w:rsid w:val="001B6020"/>
    <w:rsid w:val="001B6827"/>
    <w:rsid w:val="001B6E8D"/>
    <w:rsid w:val="001C1C53"/>
    <w:rsid w:val="001C1C91"/>
    <w:rsid w:val="001C2172"/>
    <w:rsid w:val="001C3B01"/>
    <w:rsid w:val="001C5D65"/>
    <w:rsid w:val="001C65F6"/>
    <w:rsid w:val="001C67BE"/>
    <w:rsid w:val="001D0197"/>
    <w:rsid w:val="001D09A0"/>
    <w:rsid w:val="001D1D98"/>
    <w:rsid w:val="001D1EE9"/>
    <w:rsid w:val="001D3511"/>
    <w:rsid w:val="001D4494"/>
    <w:rsid w:val="001D552D"/>
    <w:rsid w:val="001D714E"/>
    <w:rsid w:val="001E134F"/>
    <w:rsid w:val="001E23F0"/>
    <w:rsid w:val="001E2CB5"/>
    <w:rsid w:val="001E3BA7"/>
    <w:rsid w:val="001E5752"/>
    <w:rsid w:val="001E6C58"/>
    <w:rsid w:val="001E71C0"/>
    <w:rsid w:val="001E7262"/>
    <w:rsid w:val="001E7A73"/>
    <w:rsid w:val="001E7FF9"/>
    <w:rsid w:val="001F0810"/>
    <w:rsid w:val="001F0879"/>
    <w:rsid w:val="001F141D"/>
    <w:rsid w:val="001F29F5"/>
    <w:rsid w:val="001F3289"/>
    <w:rsid w:val="001F4424"/>
    <w:rsid w:val="001F499E"/>
    <w:rsid w:val="001F5A03"/>
    <w:rsid w:val="001F5D79"/>
    <w:rsid w:val="001F658D"/>
    <w:rsid w:val="00200E94"/>
    <w:rsid w:val="00200FE7"/>
    <w:rsid w:val="0020156F"/>
    <w:rsid w:val="00203D9B"/>
    <w:rsid w:val="00204295"/>
    <w:rsid w:val="002059C1"/>
    <w:rsid w:val="00205AB2"/>
    <w:rsid w:val="00206207"/>
    <w:rsid w:val="0020656A"/>
    <w:rsid w:val="00206B42"/>
    <w:rsid w:val="002078DF"/>
    <w:rsid w:val="00210D26"/>
    <w:rsid w:val="00211499"/>
    <w:rsid w:val="00211534"/>
    <w:rsid w:val="002138E4"/>
    <w:rsid w:val="00217457"/>
    <w:rsid w:val="00217D85"/>
    <w:rsid w:val="00220097"/>
    <w:rsid w:val="00220CDB"/>
    <w:rsid w:val="002218A3"/>
    <w:rsid w:val="00222CC4"/>
    <w:rsid w:val="00223511"/>
    <w:rsid w:val="002245BF"/>
    <w:rsid w:val="002246D4"/>
    <w:rsid w:val="002256FF"/>
    <w:rsid w:val="00226B99"/>
    <w:rsid w:val="0022771E"/>
    <w:rsid w:val="002314C5"/>
    <w:rsid w:val="00233F8F"/>
    <w:rsid w:val="00234C04"/>
    <w:rsid w:val="00236927"/>
    <w:rsid w:val="002374B0"/>
    <w:rsid w:val="00237A65"/>
    <w:rsid w:val="00237EF2"/>
    <w:rsid w:val="00241908"/>
    <w:rsid w:val="002427FB"/>
    <w:rsid w:val="00243AD0"/>
    <w:rsid w:val="0024498D"/>
    <w:rsid w:val="002450E1"/>
    <w:rsid w:val="002453AF"/>
    <w:rsid w:val="002457E7"/>
    <w:rsid w:val="00245DC0"/>
    <w:rsid w:val="00247BC1"/>
    <w:rsid w:val="00247DFE"/>
    <w:rsid w:val="00251417"/>
    <w:rsid w:val="0025152A"/>
    <w:rsid w:val="00252FAB"/>
    <w:rsid w:val="0025324B"/>
    <w:rsid w:val="00254974"/>
    <w:rsid w:val="00255579"/>
    <w:rsid w:val="002568C6"/>
    <w:rsid w:val="00257218"/>
    <w:rsid w:val="002573AE"/>
    <w:rsid w:val="0026062B"/>
    <w:rsid w:val="00261362"/>
    <w:rsid w:val="002619AC"/>
    <w:rsid w:val="00262617"/>
    <w:rsid w:val="0026315C"/>
    <w:rsid w:val="002639A5"/>
    <w:rsid w:val="00264B50"/>
    <w:rsid w:val="00264D04"/>
    <w:rsid w:val="00265010"/>
    <w:rsid w:val="00266DBD"/>
    <w:rsid w:val="002675BA"/>
    <w:rsid w:val="0027079B"/>
    <w:rsid w:val="00272E01"/>
    <w:rsid w:val="00274F9E"/>
    <w:rsid w:val="00275574"/>
    <w:rsid w:val="00275A1D"/>
    <w:rsid w:val="00275BBC"/>
    <w:rsid w:val="00280771"/>
    <w:rsid w:val="002817F3"/>
    <w:rsid w:val="00281E41"/>
    <w:rsid w:val="0028259B"/>
    <w:rsid w:val="00282CE2"/>
    <w:rsid w:val="00283985"/>
    <w:rsid w:val="00284067"/>
    <w:rsid w:val="00284A1E"/>
    <w:rsid w:val="00285C36"/>
    <w:rsid w:val="00286328"/>
    <w:rsid w:val="002902A5"/>
    <w:rsid w:val="0029195D"/>
    <w:rsid w:val="0029202C"/>
    <w:rsid w:val="002930FE"/>
    <w:rsid w:val="002979BD"/>
    <w:rsid w:val="002A1F28"/>
    <w:rsid w:val="002A1F6C"/>
    <w:rsid w:val="002A289E"/>
    <w:rsid w:val="002A2F75"/>
    <w:rsid w:val="002A4034"/>
    <w:rsid w:val="002A6903"/>
    <w:rsid w:val="002A7573"/>
    <w:rsid w:val="002A7E0A"/>
    <w:rsid w:val="002A7E34"/>
    <w:rsid w:val="002B1E12"/>
    <w:rsid w:val="002B41AF"/>
    <w:rsid w:val="002B42BC"/>
    <w:rsid w:val="002B601A"/>
    <w:rsid w:val="002B743F"/>
    <w:rsid w:val="002C0173"/>
    <w:rsid w:val="002C0317"/>
    <w:rsid w:val="002C058F"/>
    <w:rsid w:val="002C0797"/>
    <w:rsid w:val="002C0DE9"/>
    <w:rsid w:val="002C0E4D"/>
    <w:rsid w:val="002C1352"/>
    <w:rsid w:val="002C146B"/>
    <w:rsid w:val="002C1471"/>
    <w:rsid w:val="002C1E4F"/>
    <w:rsid w:val="002C21FC"/>
    <w:rsid w:val="002C2572"/>
    <w:rsid w:val="002C30DB"/>
    <w:rsid w:val="002C3AE7"/>
    <w:rsid w:val="002C4EF6"/>
    <w:rsid w:val="002C5733"/>
    <w:rsid w:val="002C576E"/>
    <w:rsid w:val="002C5B7F"/>
    <w:rsid w:val="002C7350"/>
    <w:rsid w:val="002C7752"/>
    <w:rsid w:val="002C790C"/>
    <w:rsid w:val="002C7F7C"/>
    <w:rsid w:val="002D08F7"/>
    <w:rsid w:val="002D23D2"/>
    <w:rsid w:val="002D32D0"/>
    <w:rsid w:val="002D4D7C"/>
    <w:rsid w:val="002D5E07"/>
    <w:rsid w:val="002D7BA4"/>
    <w:rsid w:val="002E252E"/>
    <w:rsid w:val="002E43A4"/>
    <w:rsid w:val="002E4A8F"/>
    <w:rsid w:val="002E51A9"/>
    <w:rsid w:val="002E5A0E"/>
    <w:rsid w:val="002E6DAE"/>
    <w:rsid w:val="002F054E"/>
    <w:rsid w:val="002F081F"/>
    <w:rsid w:val="002F20D9"/>
    <w:rsid w:val="002F212D"/>
    <w:rsid w:val="002F3E1C"/>
    <w:rsid w:val="002F405C"/>
    <w:rsid w:val="002F42AF"/>
    <w:rsid w:val="002F6048"/>
    <w:rsid w:val="002F7C77"/>
    <w:rsid w:val="00302777"/>
    <w:rsid w:val="00303597"/>
    <w:rsid w:val="00303719"/>
    <w:rsid w:val="00304CE3"/>
    <w:rsid w:val="003063BD"/>
    <w:rsid w:val="003066F9"/>
    <w:rsid w:val="00312623"/>
    <w:rsid w:val="00312841"/>
    <w:rsid w:val="00312AC7"/>
    <w:rsid w:val="00312FD9"/>
    <w:rsid w:val="0031315A"/>
    <w:rsid w:val="003154D3"/>
    <w:rsid w:val="00315AE8"/>
    <w:rsid w:val="00316893"/>
    <w:rsid w:val="00317EA9"/>
    <w:rsid w:val="00317F45"/>
    <w:rsid w:val="00320302"/>
    <w:rsid w:val="003204F7"/>
    <w:rsid w:val="00321DC1"/>
    <w:rsid w:val="00322253"/>
    <w:rsid w:val="0032483A"/>
    <w:rsid w:val="00324844"/>
    <w:rsid w:val="00325BD5"/>
    <w:rsid w:val="00327147"/>
    <w:rsid w:val="0032788B"/>
    <w:rsid w:val="00327C38"/>
    <w:rsid w:val="00331106"/>
    <w:rsid w:val="00331684"/>
    <w:rsid w:val="00331CD3"/>
    <w:rsid w:val="0033380E"/>
    <w:rsid w:val="003346E1"/>
    <w:rsid w:val="0033510B"/>
    <w:rsid w:val="00335CE8"/>
    <w:rsid w:val="00336B1E"/>
    <w:rsid w:val="003402D7"/>
    <w:rsid w:val="003407F7"/>
    <w:rsid w:val="00340C14"/>
    <w:rsid w:val="00340C1E"/>
    <w:rsid w:val="003426F2"/>
    <w:rsid w:val="00342CDD"/>
    <w:rsid w:val="00342EDF"/>
    <w:rsid w:val="00342EE9"/>
    <w:rsid w:val="0034394E"/>
    <w:rsid w:val="00344319"/>
    <w:rsid w:val="00344A32"/>
    <w:rsid w:val="00344D54"/>
    <w:rsid w:val="00344E8A"/>
    <w:rsid w:val="00345334"/>
    <w:rsid w:val="00345AFF"/>
    <w:rsid w:val="00345E52"/>
    <w:rsid w:val="0034638A"/>
    <w:rsid w:val="00350621"/>
    <w:rsid w:val="003514D5"/>
    <w:rsid w:val="00351E53"/>
    <w:rsid w:val="003537AA"/>
    <w:rsid w:val="00354752"/>
    <w:rsid w:val="0035546A"/>
    <w:rsid w:val="00355746"/>
    <w:rsid w:val="0035576F"/>
    <w:rsid w:val="00355772"/>
    <w:rsid w:val="003563F4"/>
    <w:rsid w:val="003573BE"/>
    <w:rsid w:val="00357617"/>
    <w:rsid w:val="003605C0"/>
    <w:rsid w:val="00361622"/>
    <w:rsid w:val="00361C09"/>
    <w:rsid w:val="00362CE0"/>
    <w:rsid w:val="00363A65"/>
    <w:rsid w:val="00363B7B"/>
    <w:rsid w:val="00364903"/>
    <w:rsid w:val="00364BC7"/>
    <w:rsid w:val="003654A2"/>
    <w:rsid w:val="00365525"/>
    <w:rsid w:val="00367B83"/>
    <w:rsid w:val="00370039"/>
    <w:rsid w:val="00370765"/>
    <w:rsid w:val="00370EA2"/>
    <w:rsid w:val="003715BB"/>
    <w:rsid w:val="00373B03"/>
    <w:rsid w:val="00374D46"/>
    <w:rsid w:val="00375AAD"/>
    <w:rsid w:val="00375BD7"/>
    <w:rsid w:val="00376511"/>
    <w:rsid w:val="00376974"/>
    <w:rsid w:val="00376B0D"/>
    <w:rsid w:val="00377EA4"/>
    <w:rsid w:val="003814A2"/>
    <w:rsid w:val="0038227D"/>
    <w:rsid w:val="00383580"/>
    <w:rsid w:val="00384ADA"/>
    <w:rsid w:val="00385636"/>
    <w:rsid w:val="003867E0"/>
    <w:rsid w:val="0038741E"/>
    <w:rsid w:val="00387751"/>
    <w:rsid w:val="00391BFC"/>
    <w:rsid w:val="00392395"/>
    <w:rsid w:val="003940B2"/>
    <w:rsid w:val="003942AC"/>
    <w:rsid w:val="003946AB"/>
    <w:rsid w:val="00395E16"/>
    <w:rsid w:val="00397B90"/>
    <w:rsid w:val="00397D4D"/>
    <w:rsid w:val="003A0607"/>
    <w:rsid w:val="003A0736"/>
    <w:rsid w:val="003A0C62"/>
    <w:rsid w:val="003A1567"/>
    <w:rsid w:val="003A2CB6"/>
    <w:rsid w:val="003A3B75"/>
    <w:rsid w:val="003A3F14"/>
    <w:rsid w:val="003A42A0"/>
    <w:rsid w:val="003A5052"/>
    <w:rsid w:val="003A5633"/>
    <w:rsid w:val="003A5E1A"/>
    <w:rsid w:val="003A6033"/>
    <w:rsid w:val="003A79BE"/>
    <w:rsid w:val="003B16FA"/>
    <w:rsid w:val="003B28D4"/>
    <w:rsid w:val="003B3B01"/>
    <w:rsid w:val="003B3E32"/>
    <w:rsid w:val="003B420C"/>
    <w:rsid w:val="003B4F39"/>
    <w:rsid w:val="003B51FB"/>
    <w:rsid w:val="003B5415"/>
    <w:rsid w:val="003B56E6"/>
    <w:rsid w:val="003B5EAD"/>
    <w:rsid w:val="003B65BF"/>
    <w:rsid w:val="003B6D1E"/>
    <w:rsid w:val="003B7200"/>
    <w:rsid w:val="003B7897"/>
    <w:rsid w:val="003B7D25"/>
    <w:rsid w:val="003C0DDA"/>
    <w:rsid w:val="003C0DDE"/>
    <w:rsid w:val="003C13BC"/>
    <w:rsid w:val="003C18DA"/>
    <w:rsid w:val="003C2582"/>
    <w:rsid w:val="003C295C"/>
    <w:rsid w:val="003C3989"/>
    <w:rsid w:val="003C7752"/>
    <w:rsid w:val="003D0414"/>
    <w:rsid w:val="003D0514"/>
    <w:rsid w:val="003D12A5"/>
    <w:rsid w:val="003D1C99"/>
    <w:rsid w:val="003D1EE7"/>
    <w:rsid w:val="003D20A7"/>
    <w:rsid w:val="003D254B"/>
    <w:rsid w:val="003D310D"/>
    <w:rsid w:val="003D54CE"/>
    <w:rsid w:val="003D55BD"/>
    <w:rsid w:val="003D626E"/>
    <w:rsid w:val="003D70BF"/>
    <w:rsid w:val="003D720B"/>
    <w:rsid w:val="003D72FC"/>
    <w:rsid w:val="003D79FE"/>
    <w:rsid w:val="003E0C2B"/>
    <w:rsid w:val="003E0F86"/>
    <w:rsid w:val="003E132B"/>
    <w:rsid w:val="003E1A67"/>
    <w:rsid w:val="003E1B01"/>
    <w:rsid w:val="003E20DE"/>
    <w:rsid w:val="003E26DA"/>
    <w:rsid w:val="003E2D8F"/>
    <w:rsid w:val="003E3E4C"/>
    <w:rsid w:val="003E537E"/>
    <w:rsid w:val="003E5535"/>
    <w:rsid w:val="003E5E1A"/>
    <w:rsid w:val="003E6DA8"/>
    <w:rsid w:val="003E740C"/>
    <w:rsid w:val="003E7519"/>
    <w:rsid w:val="003E7BF6"/>
    <w:rsid w:val="003E7F86"/>
    <w:rsid w:val="003F17FF"/>
    <w:rsid w:val="003F3317"/>
    <w:rsid w:val="003F4087"/>
    <w:rsid w:val="003F7FBB"/>
    <w:rsid w:val="004004C9"/>
    <w:rsid w:val="00400F73"/>
    <w:rsid w:val="004011E6"/>
    <w:rsid w:val="00401595"/>
    <w:rsid w:val="00402493"/>
    <w:rsid w:val="00402623"/>
    <w:rsid w:val="0040308D"/>
    <w:rsid w:val="004037E0"/>
    <w:rsid w:val="004039B0"/>
    <w:rsid w:val="0040627D"/>
    <w:rsid w:val="0041021E"/>
    <w:rsid w:val="00410597"/>
    <w:rsid w:val="00410D7E"/>
    <w:rsid w:val="0041260D"/>
    <w:rsid w:val="00412B09"/>
    <w:rsid w:val="00413D9D"/>
    <w:rsid w:val="0041406B"/>
    <w:rsid w:val="00416643"/>
    <w:rsid w:val="00416C46"/>
    <w:rsid w:val="00417E51"/>
    <w:rsid w:val="00420636"/>
    <w:rsid w:val="004221F4"/>
    <w:rsid w:val="004231CA"/>
    <w:rsid w:val="004233E3"/>
    <w:rsid w:val="00423948"/>
    <w:rsid w:val="0042616E"/>
    <w:rsid w:val="00427347"/>
    <w:rsid w:val="004275C5"/>
    <w:rsid w:val="00430BA0"/>
    <w:rsid w:val="004318AB"/>
    <w:rsid w:val="00431D23"/>
    <w:rsid w:val="0043298C"/>
    <w:rsid w:val="00432F47"/>
    <w:rsid w:val="004336CE"/>
    <w:rsid w:val="00434146"/>
    <w:rsid w:val="00434A94"/>
    <w:rsid w:val="00434C57"/>
    <w:rsid w:val="0043566A"/>
    <w:rsid w:val="0043630B"/>
    <w:rsid w:val="00437032"/>
    <w:rsid w:val="00437257"/>
    <w:rsid w:val="00441A09"/>
    <w:rsid w:val="00441A69"/>
    <w:rsid w:val="00442413"/>
    <w:rsid w:val="004439FE"/>
    <w:rsid w:val="00444290"/>
    <w:rsid w:val="0044447C"/>
    <w:rsid w:val="00444890"/>
    <w:rsid w:val="0044499E"/>
    <w:rsid w:val="00447431"/>
    <w:rsid w:val="0045074F"/>
    <w:rsid w:val="004537F6"/>
    <w:rsid w:val="00456394"/>
    <w:rsid w:val="004575FB"/>
    <w:rsid w:val="0046099E"/>
    <w:rsid w:val="0046217C"/>
    <w:rsid w:val="004625E3"/>
    <w:rsid w:val="004630AB"/>
    <w:rsid w:val="0046392D"/>
    <w:rsid w:val="00463ED5"/>
    <w:rsid w:val="00463EEE"/>
    <w:rsid w:val="00466A1E"/>
    <w:rsid w:val="004709AB"/>
    <w:rsid w:val="00470B9E"/>
    <w:rsid w:val="00471D36"/>
    <w:rsid w:val="00472037"/>
    <w:rsid w:val="0047290F"/>
    <w:rsid w:val="00473542"/>
    <w:rsid w:val="00473619"/>
    <w:rsid w:val="0047364D"/>
    <w:rsid w:val="004736DA"/>
    <w:rsid w:val="00474370"/>
    <w:rsid w:val="00474936"/>
    <w:rsid w:val="004757C4"/>
    <w:rsid w:val="004772B0"/>
    <w:rsid w:val="00477F28"/>
    <w:rsid w:val="00480F0A"/>
    <w:rsid w:val="00481214"/>
    <w:rsid w:val="0048271E"/>
    <w:rsid w:val="00483781"/>
    <w:rsid w:val="00486C59"/>
    <w:rsid w:val="00487173"/>
    <w:rsid w:val="0048720A"/>
    <w:rsid w:val="00487865"/>
    <w:rsid w:val="00490770"/>
    <w:rsid w:val="00491193"/>
    <w:rsid w:val="00494292"/>
    <w:rsid w:val="00494A2B"/>
    <w:rsid w:val="00495187"/>
    <w:rsid w:val="00496678"/>
    <w:rsid w:val="00496C14"/>
    <w:rsid w:val="004A1DE5"/>
    <w:rsid w:val="004A3EC8"/>
    <w:rsid w:val="004A5C9E"/>
    <w:rsid w:val="004A60C7"/>
    <w:rsid w:val="004A6318"/>
    <w:rsid w:val="004A64F8"/>
    <w:rsid w:val="004A79D5"/>
    <w:rsid w:val="004A7BB2"/>
    <w:rsid w:val="004B0434"/>
    <w:rsid w:val="004B4376"/>
    <w:rsid w:val="004B5F80"/>
    <w:rsid w:val="004B6414"/>
    <w:rsid w:val="004B68E6"/>
    <w:rsid w:val="004C092B"/>
    <w:rsid w:val="004C107A"/>
    <w:rsid w:val="004C2AA7"/>
    <w:rsid w:val="004C39D3"/>
    <w:rsid w:val="004C436E"/>
    <w:rsid w:val="004C48FC"/>
    <w:rsid w:val="004C55F1"/>
    <w:rsid w:val="004C5DAA"/>
    <w:rsid w:val="004C689E"/>
    <w:rsid w:val="004C767F"/>
    <w:rsid w:val="004D07CF"/>
    <w:rsid w:val="004D0955"/>
    <w:rsid w:val="004D114E"/>
    <w:rsid w:val="004D13DB"/>
    <w:rsid w:val="004D2578"/>
    <w:rsid w:val="004D34C3"/>
    <w:rsid w:val="004D3B20"/>
    <w:rsid w:val="004D3C00"/>
    <w:rsid w:val="004D48AC"/>
    <w:rsid w:val="004D51F6"/>
    <w:rsid w:val="004D5217"/>
    <w:rsid w:val="004D6116"/>
    <w:rsid w:val="004D6318"/>
    <w:rsid w:val="004D6D04"/>
    <w:rsid w:val="004D7D26"/>
    <w:rsid w:val="004E009C"/>
    <w:rsid w:val="004E0625"/>
    <w:rsid w:val="004E1D5C"/>
    <w:rsid w:val="004E1FC0"/>
    <w:rsid w:val="004E2049"/>
    <w:rsid w:val="004E35D1"/>
    <w:rsid w:val="004E3696"/>
    <w:rsid w:val="004E406B"/>
    <w:rsid w:val="004E4DA1"/>
    <w:rsid w:val="004E555C"/>
    <w:rsid w:val="004E59E0"/>
    <w:rsid w:val="004F0022"/>
    <w:rsid w:val="004F0A65"/>
    <w:rsid w:val="004F115E"/>
    <w:rsid w:val="004F18BA"/>
    <w:rsid w:val="004F1FBD"/>
    <w:rsid w:val="004F1FF5"/>
    <w:rsid w:val="004F39AB"/>
    <w:rsid w:val="004F4808"/>
    <w:rsid w:val="004F5357"/>
    <w:rsid w:val="004F6BE4"/>
    <w:rsid w:val="004F6C41"/>
    <w:rsid w:val="004F743F"/>
    <w:rsid w:val="005008D7"/>
    <w:rsid w:val="00500BF0"/>
    <w:rsid w:val="00500E50"/>
    <w:rsid w:val="00501132"/>
    <w:rsid w:val="00501E9D"/>
    <w:rsid w:val="00502D33"/>
    <w:rsid w:val="005045B1"/>
    <w:rsid w:val="00504EA0"/>
    <w:rsid w:val="005060A3"/>
    <w:rsid w:val="00513D87"/>
    <w:rsid w:val="005153A7"/>
    <w:rsid w:val="00516501"/>
    <w:rsid w:val="00516B78"/>
    <w:rsid w:val="005204AF"/>
    <w:rsid w:val="00520A06"/>
    <w:rsid w:val="0052326D"/>
    <w:rsid w:val="005235ED"/>
    <w:rsid w:val="00524B2D"/>
    <w:rsid w:val="00525260"/>
    <w:rsid w:val="00525596"/>
    <w:rsid w:val="00525F74"/>
    <w:rsid w:val="00526C43"/>
    <w:rsid w:val="0052707F"/>
    <w:rsid w:val="00527167"/>
    <w:rsid w:val="00527A27"/>
    <w:rsid w:val="005301E7"/>
    <w:rsid w:val="0053255E"/>
    <w:rsid w:val="00533464"/>
    <w:rsid w:val="00533CC2"/>
    <w:rsid w:val="00533FE6"/>
    <w:rsid w:val="00535146"/>
    <w:rsid w:val="00537219"/>
    <w:rsid w:val="00537934"/>
    <w:rsid w:val="0054521B"/>
    <w:rsid w:val="00545740"/>
    <w:rsid w:val="00545A30"/>
    <w:rsid w:val="005468F6"/>
    <w:rsid w:val="00546F2B"/>
    <w:rsid w:val="00546F6D"/>
    <w:rsid w:val="00547A9F"/>
    <w:rsid w:val="00550272"/>
    <w:rsid w:val="00550538"/>
    <w:rsid w:val="00550A1F"/>
    <w:rsid w:val="00551392"/>
    <w:rsid w:val="005515C3"/>
    <w:rsid w:val="005548CB"/>
    <w:rsid w:val="005551E6"/>
    <w:rsid w:val="00555747"/>
    <w:rsid w:val="00555A80"/>
    <w:rsid w:val="00557595"/>
    <w:rsid w:val="00557AD8"/>
    <w:rsid w:val="00557C5D"/>
    <w:rsid w:val="00557DBD"/>
    <w:rsid w:val="00557F73"/>
    <w:rsid w:val="005610CD"/>
    <w:rsid w:val="00561807"/>
    <w:rsid w:val="00562B87"/>
    <w:rsid w:val="00562ED6"/>
    <w:rsid w:val="00562EE5"/>
    <w:rsid w:val="00563836"/>
    <w:rsid w:val="00563B78"/>
    <w:rsid w:val="00563ED6"/>
    <w:rsid w:val="005642DF"/>
    <w:rsid w:val="00564BDB"/>
    <w:rsid w:val="00564D0C"/>
    <w:rsid w:val="00565200"/>
    <w:rsid w:val="00565C39"/>
    <w:rsid w:val="00565E32"/>
    <w:rsid w:val="00571A49"/>
    <w:rsid w:val="005725F2"/>
    <w:rsid w:val="00572F0A"/>
    <w:rsid w:val="00573019"/>
    <w:rsid w:val="005749F5"/>
    <w:rsid w:val="00574B07"/>
    <w:rsid w:val="00575521"/>
    <w:rsid w:val="00575CB1"/>
    <w:rsid w:val="00576671"/>
    <w:rsid w:val="00576F28"/>
    <w:rsid w:val="00577717"/>
    <w:rsid w:val="00577818"/>
    <w:rsid w:val="00581A8D"/>
    <w:rsid w:val="00582055"/>
    <w:rsid w:val="00584063"/>
    <w:rsid w:val="00584153"/>
    <w:rsid w:val="005855B6"/>
    <w:rsid w:val="00585D1C"/>
    <w:rsid w:val="00585EB8"/>
    <w:rsid w:val="00586F6C"/>
    <w:rsid w:val="00587E1A"/>
    <w:rsid w:val="0059038C"/>
    <w:rsid w:val="0059117F"/>
    <w:rsid w:val="00591437"/>
    <w:rsid w:val="005930BD"/>
    <w:rsid w:val="00593418"/>
    <w:rsid w:val="005935E8"/>
    <w:rsid w:val="005943CD"/>
    <w:rsid w:val="00595653"/>
    <w:rsid w:val="00595C13"/>
    <w:rsid w:val="00596269"/>
    <w:rsid w:val="00596409"/>
    <w:rsid w:val="00597169"/>
    <w:rsid w:val="0059719C"/>
    <w:rsid w:val="005A2C32"/>
    <w:rsid w:val="005A547D"/>
    <w:rsid w:val="005A54ED"/>
    <w:rsid w:val="005A6202"/>
    <w:rsid w:val="005A7B1F"/>
    <w:rsid w:val="005B01CC"/>
    <w:rsid w:val="005B0DA6"/>
    <w:rsid w:val="005B374F"/>
    <w:rsid w:val="005B4D2F"/>
    <w:rsid w:val="005B503F"/>
    <w:rsid w:val="005B5285"/>
    <w:rsid w:val="005B5D05"/>
    <w:rsid w:val="005B7FF0"/>
    <w:rsid w:val="005C002C"/>
    <w:rsid w:val="005C0945"/>
    <w:rsid w:val="005C1626"/>
    <w:rsid w:val="005C37BE"/>
    <w:rsid w:val="005C3E99"/>
    <w:rsid w:val="005C66BD"/>
    <w:rsid w:val="005C68CE"/>
    <w:rsid w:val="005C6F12"/>
    <w:rsid w:val="005C7B8C"/>
    <w:rsid w:val="005D017E"/>
    <w:rsid w:val="005D1481"/>
    <w:rsid w:val="005D2474"/>
    <w:rsid w:val="005D2772"/>
    <w:rsid w:val="005D2A6A"/>
    <w:rsid w:val="005D33A1"/>
    <w:rsid w:val="005D39C7"/>
    <w:rsid w:val="005D6CF3"/>
    <w:rsid w:val="005D74B7"/>
    <w:rsid w:val="005D7B5F"/>
    <w:rsid w:val="005D7BB0"/>
    <w:rsid w:val="005E0C62"/>
    <w:rsid w:val="005E2EAB"/>
    <w:rsid w:val="005E34D3"/>
    <w:rsid w:val="005E3DC1"/>
    <w:rsid w:val="005E40E9"/>
    <w:rsid w:val="005E4436"/>
    <w:rsid w:val="005E5110"/>
    <w:rsid w:val="005E5528"/>
    <w:rsid w:val="005E5E17"/>
    <w:rsid w:val="005E627C"/>
    <w:rsid w:val="005E6582"/>
    <w:rsid w:val="005E6936"/>
    <w:rsid w:val="005E7EC5"/>
    <w:rsid w:val="005F0A95"/>
    <w:rsid w:val="005F3664"/>
    <w:rsid w:val="005F47AD"/>
    <w:rsid w:val="005F47B0"/>
    <w:rsid w:val="006012BF"/>
    <w:rsid w:val="00601FA9"/>
    <w:rsid w:val="006036E6"/>
    <w:rsid w:val="00603D15"/>
    <w:rsid w:val="00604831"/>
    <w:rsid w:val="00604E10"/>
    <w:rsid w:val="00605D97"/>
    <w:rsid w:val="00606245"/>
    <w:rsid w:val="00606ACB"/>
    <w:rsid w:val="006101A9"/>
    <w:rsid w:val="00610A00"/>
    <w:rsid w:val="00610D31"/>
    <w:rsid w:val="00612BDE"/>
    <w:rsid w:val="00612DA4"/>
    <w:rsid w:val="006131AA"/>
    <w:rsid w:val="006137F7"/>
    <w:rsid w:val="006139EB"/>
    <w:rsid w:val="0061598D"/>
    <w:rsid w:val="00616235"/>
    <w:rsid w:val="006165A8"/>
    <w:rsid w:val="00616889"/>
    <w:rsid w:val="00616D84"/>
    <w:rsid w:val="00617302"/>
    <w:rsid w:val="00617CF5"/>
    <w:rsid w:val="00617FE6"/>
    <w:rsid w:val="0062050B"/>
    <w:rsid w:val="0062076F"/>
    <w:rsid w:val="006212AC"/>
    <w:rsid w:val="006219B6"/>
    <w:rsid w:val="00623A8D"/>
    <w:rsid w:val="006248AC"/>
    <w:rsid w:val="00625051"/>
    <w:rsid w:val="0062630A"/>
    <w:rsid w:val="00626E1C"/>
    <w:rsid w:val="00627876"/>
    <w:rsid w:val="0062796B"/>
    <w:rsid w:val="00630128"/>
    <w:rsid w:val="00630EA7"/>
    <w:rsid w:val="00637288"/>
    <w:rsid w:val="00637C80"/>
    <w:rsid w:val="0064117C"/>
    <w:rsid w:val="006427EE"/>
    <w:rsid w:val="00643250"/>
    <w:rsid w:val="006438FF"/>
    <w:rsid w:val="006439D7"/>
    <w:rsid w:val="006444E6"/>
    <w:rsid w:val="00647FBA"/>
    <w:rsid w:val="0065007A"/>
    <w:rsid w:val="006501F2"/>
    <w:rsid w:val="00650630"/>
    <w:rsid w:val="006515E4"/>
    <w:rsid w:val="00651A30"/>
    <w:rsid w:val="00651F66"/>
    <w:rsid w:val="00651FB5"/>
    <w:rsid w:val="006521E0"/>
    <w:rsid w:val="00654544"/>
    <w:rsid w:val="00654C02"/>
    <w:rsid w:val="00655A42"/>
    <w:rsid w:val="00655AE5"/>
    <w:rsid w:val="006564A8"/>
    <w:rsid w:val="006575FB"/>
    <w:rsid w:val="00657657"/>
    <w:rsid w:val="0066023D"/>
    <w:rsid w:val="00661527"/>
    <w:rsid w:val="00661E71"/>
    <w:rsid w:val="00664FAF"/>
    <w:rsid w:val="0066521B"/>
    <w:rsid w:val="006654F9"/>
    <w:rsid w:val="00665BFE"/>
    <w:rsid w:val="006664DE"/>
    <w:rsid w:val="006666FA"/>
    <w:rsid w:val="00666871"/>
    <w:rsid w:val="006673AD"/>
    <w:rsid w:val="006705C4"/>
    <w:rsid w:val="0067271E"/>
    <w:rsid w:val="00674749"/>
    <w:rsid w:val="00674843"/>
    <w:rsid w:val="00674891"/>
    <w:rsid w:val="006758EA"/>
    <w:rsid w:val="006759F3"/>
    <w:rsid w:val="006761CC"/>
    <w:rsid w:val="006765C9"/>
    <w:rsid w:val="006768E2"/>
    <w:rsid w:val="006809F6"/>
    <w:rsid w:val="00681ECF"/>
    <w:rsid w:val="00683BF4"/>
    <w:rsid w:val="0068403E"/>
    <w:rsid w:val="00684C2A"/>
    <w:rsid w:val="00684FC0"/>
    <w:rsid w:val="006863BD"/>
    <w:rsid w:val="00687967"/>
    <w:rsid w:val="00690951"/>
    <w:rsid w:val="00692F9F"/>
    <w:rsid w:val="006932EF"/>
    <w:rsid w:val="006936DE"/>
    <w:rsid w:val="0069596E"/>
    <w:rsid w:val="00696D22"/>
    <w:rsid w:val="006A03BF"/>
    <w:rsid w:val="006A0943"/>
    <w:rsid w:val="006A2DB5"/>
    <w:rsid w:val="006A3BDC"/>
    <w:rsid w:val="006A412B"/>
    <w:rsid w:val="006A4147"/>
    <w:rsid w:val="006A424D"/>
    <w:rsid w:val="006A476C"/>
    <w:rsid w:val="006A539F"/>
    <w:rsid w:val="006A5D2D"/>
    <w:rsid w:val="006A60CC"/>
    <w:rsid w:val="006A6179"/>
    <w:rsid w:val="006B09D7"/>
    <w:rsid w:val="006B1816"/>
    <w:rsid w:val="006B31E2"/>
    <w:rsid w:val="006B366C"/>
    <w:rsid w:val="006B63F2"/>
    <w:rsid w:val="006C0270"/>
    <w:rsid w:val="006C0A56"/>
    <w:rsid w:val="006C2D1F"/>
    <w:rsid w:val="006C4718"/>
    <w:rsid w:val="006C48D7"/>
    <w:rsid w:val="006C6BED"/>
    <w:rsid w:val="006C7888"/>
    <w:rsid w:val="006D028A"/>
    <w:rsid w:val="006D0BB6"/>
    <w:rsid w:val="006D0C1C"/>
    <w:rsid w:val="006D12FB"/>
    <w:rsid w:val="006D265D"/>
    <w:rsid w:val="006D6EB7"/>
    <w:rsid w:val="006D78B2"/>
    <w:rsid w:val="006D7F83"/>
    <w:rsid w:val="006E108D"/>
    <w:rsid w:val="006E1321"/>
    <w:rsid w:val="006E4DCB"/>
    <w:rsid w:val="006E698B"/>
    <w:rsid w:val="006F220C"/>
    <w:rsid w:val="006F22C7"/>
    <w:rsid w:val="006F2604"/>
    <w:rsid w:val="006F2B00"/>
    <w:rsid w:val="006F2B9F"/>
    <w:rsid w:val="006F52FF"/>
    <w:rsid w:val="006F6721"/>
    <w:rsid w:val="006F6908"/>
    <w:rsid w:val="006F6C22"/>
    <w:rsid w:val="00700BB6"/>
    <w:rsid w:val="00700CD8"/>
    <w:rsid w:val="00701221"/>
    <w:rsid w:val="007016A2"/>
    <w:rsid w:val="00701B62"/>
    <w:rsid w:val="00701CAD"/>
    <w:rsid w:val="00705B8E"/>
    <w:rsid w:val="00705C2F"/>
    <w:rsid w:val="007061C9"/>
    <w:rsid w:val="00706512"/>
    <w:rsid w:val="00706597"/>
    <w:rsid w:val="00706F96"/>
    <w:rsid w:val="0070762E"/>
    <w:rsid w:val="007105BD"/>
    <w:rsid w:val="00710627"/>
    <w:rsid w:val="00711598"/>
    <w:rsid w:val="0071289A"/>
    <w:rsid w:val="0071310C"/>
    <w:rsid w:val="00713A1A"/>
    <w:rsid w:val="00714D87"/>
    <w:rsid w:val="007158AC"/>
    <w:rsid w:val="007159FB"/>
    <w:rsid w:val="00720FF5"/>
    <w:rsid w:val="007211F2"/>
    <w:rsid w:val="00723853"/>
    <w:rsid w:val="00723FA3"/>
    <w:rsid w:val="007240E2"/>
    <w:rsid w:val="007240EE"/>
    <w:rsid w:val="00724C62"/>
    <w:rsid w:val="00726286"/>
    <w:rsid w:val="00726F56"/>
    <w:rsid w:val="00727494"/>
    <w:rsid w:val="007303D4"/>
    <w:rsid w:val="0073158D"/>
    <w:rsid w:val="007334D7"/>
    <w:rsid w:val="00735339"/>
    <w:rsid w:val="00735665"/>
    <w:rsid w:val="00735B1D"/>
    <w:rsid w:val="00735D39"/>
    <w:rsid w:val="00736443"/>
    <w:rsid w:val="00736729"/>
    <w:rsid w:val="00736A71"/>
    <w:rsid w:val="007372F0"/>
    <w:rsid w:val="00737B38"/>
    <w:rsid w:val="0074065E"/>
    <w:rsid w:val="00740CF5"/>
    <w:rsid w:val="007418FC"/>
    <w:rsid w:val="00747442"/>
    <w:rsid w:val="00751D37"/>
    <w:rsid w:val="00752F49"/>
    <w:rsid w:val="007530EC"/>
    <w:rsid w:val="00754A23"/>
    <w:rsid w:val="00754F42"/>
    <w:rsid w:val="007557C4"/>
    <w:rsid w:val="007557DD"/>
    <w:rsid w:val="007576BC"/>
    <w:rsid w:val="00760BD1"/>
    <w:rsid w:val="00761EF6"/>
    <w:rsid w:val="007636E6"/>
    <w:rsid w:val="007641ED"/>
    <w:rsid w:val="007654BE"/>
    <w:rsid w:val="0076660F"/>
    <w:rsid w:val="00766B20"/>
    <w:rsid w:val="00774A47"/>
    <w:rsid w:val="007759D1"/>
    <w:rsid w:val="00775FAB"/>
    <w:rsid w:val="007770B8"/>
    <w:rsid w:val="00777BFB"/>
    <w:rsid w:val="00780740"/>
    <w:rsid w:val="00780DA0"/>
    <w:rsid w:val="00781627"/>
    <w:rsid w:val="007817CB"/>
    <w:rsid w:val="00781987"/>
    <w:rsid w:val="00781D71"/>
    <w:rsid w:val="00782D1C"/>
    <w:rsid w:val="007830CE"/>
    <w:rsid w:val="00783BDF"/>
    <w:rsid w:val="00785777"/>
    <w:rsid w:val="00785977"/>
    <w:rsid w:val="00785ED9"/>
    <w:rsid w:val="00786500"/>
    <w:rsid w:val="0078661F"/>
    <w:rsid w:val="00786FDB"/>
    <w:rsid w:val="00787F05"/>
    <w:rsid w:val="0079112B"/>
    <w:rsid w:val="00792438"/>
    <w:rsid w:val="00794B4F"/>
    <w:rsid w:val="007967F1"/>
    <w:rsid w:val="00796F5D"/>
    <w:rsid w:val="007A0EC2"/>
    <w:rsid w:val="007A107B"/>
    <w:rsid w:val="007A30EB"/>
    <w:rsid w:val="007A3DE9"/>
    <w:rsid w:val="007A408F"/>
    <w:rsid w:val="007A4758"/>
    <w:rsid w:val="007A539D"/>
    <w:rsid w:val="007A63B4"/>
    <w:rsid w:val="007A671E"/>
    <w:rsid w:val="007A689C"/>
    <w:rsid w:val="007B1299"/>
    <w:rsid w:val="007B1691"/>
    <w:rsid w:val="007B50D1"/>
    <w:rsid w:val="007B5B6F"/>
    <w:rsid w:val="007B5C81"/>
    <w:rsid w:val="007B643D"/>
    <w:rsid w:val="007B736D"/>
    <w:rsid w:val="007C03CD"/>
    <w:rsid w:val="007C040E"/>
    <w:rsid w:val="007C0D6E"/>
    <w:rsid w:val="007C15F8"/>
    <w:rsid w:val="007C1678"/>
    <w:rsid w:val="007C1751"/>
    <w:rsid w:val="007C3129"/>
    <w:rsid w:val="007C32F8"/>
    <w:rsid w:val="007C4345"/>
    <w:rsid w:val="007C46A3"/>
    <w:rsid w:val="007C4BBB"/>
    <w:rsid w:val="007C5910"/>
    <w:rsid w:val="007C5BFA"/>
    <w:rsid w:val="007C6727"/>
    <w:rsid w:val="007C6E5B"/>
    <w:rsid w:val="007C7BF4"/>
    <w:rsid w:val="007C7CA6"/>
    <w:rsid w:val="007D0910"/>
    <w:rsid w:val="007D126B"/>
    <w:rsid w:val="007D7B0D"/>
    <w:rsid w:val="007E0162"/>
    <w:rsid w:val="007E1179"/>
    <w:rsid w:val="007E1D11"/>
    <w:rsid w:val="007E3677"/>
    <w:rsid w:val="007E36CA"/>
    <w:rsid w:val="007E384F"/>
    <w:rsid w:val="007E3B7E"/>
    <w:rsid w:val="007E3D0D"/>
    <w:rsid w:val="007E4949"/>
    <w:rsid w:val="007E6834"/>
    <w:rsid w:val="007E69E2"/>
    <w:rsid w:val="007E74EF"/>
    <w:rsid w:val="007F0A04"/>
    <w:rsid w:val="007F0EB5"/>
    <w:rsid w:val="007F20EF"/>
    <w:rsid w:val="007F211A"/>
    <w:rsid w:val="007F271C"/>
    <w:rsid w:val="007F3409"/>
    <w:rsid w:val="007F44C8"/>
    <w:rsid w:val="007F4AB5"/>
    <w:rsid w:val="007F4AEE"/>
    <w:rsid w:val="007F4C23"/>
    <w:rsid w:val="007F4DB8"/>
    <w:rsid w:val="007F5210"/>
    <w:rsid w:val="007F6C0A"/>
    <w:rsid w:val="008017F9"/>
    <w:rsid w:val="008025A9"/>
    <w:rsid w:val="00805596"/>
    <w:rsid w:val="00807D52"/>
    <w:rsid w:val="00811AC8"/>
    <w:rsid w:val="00813191"/>
    <w:rsid w:val="008133B0"/>
    <w:rsid w:val="00814074"/>
    <w:rsid w:val="00817332"/>
    <w:rsid w:val="00821B21"/>
    <w:rsid w:val="00822F0F"/>
    <w:rsid w:val="00825D3E"/>
    <w:rsid w:val="00826E9F"/>
    <w:rsid w:val="00827345"/>
    <w:rsid w:val="008277D5"/>
    <w:rsid w:val="00827D27"/>
    <w:rsid w:val="00827FA4"/>
    <w:rsid w:val="00830789"/>
    <w:rsid w:val="00830B45"/>
    <w:rsid w:val="00831B1D"/>
    <w:rsid w:val="00832220"/>
    <w:rsid w:val="0083632F"/>
    <w:rsid w:val="00836E5E"/>
    <w:rsid w:val="00836E83"/>
    <w:rsid w:val="008370CD"/>
    <w:rsid w:val="008375AF"/>
    <w:rsid w:val="008415B5"/>
    <w:rsid w:val="00842F76"/>
    <w:rsid w:val="008457D4"/>
    <w:rsid w:val="0084629D"/>
    <w:rsid w:val="00846780"/>
    <w:rsid w:val="0084705B"/>
    <w:rsid w:val="00850682"/>
    <w:rsid w:val="00850698"/>
    <w:rsid w:val="00851ACF"/>
    <w:rsid w:val="0085295B"/>
    <w:rsid w:val="0085497C"/>
    <w:rsid w:val="00856290"/>
    <w:rsid w:val="00856CEA"/>
    <w:rsid w:val="008601C6"/>
    <w:rsid w:val="0086055B"/>
    <w:rsid w:val="00861A28"/>
    <w:rsid w:val="00863677"/>
    <w:rsid w:val="008640BE"/>
    <w:rsid w:val="00865779"/>
    <w:rsid w:val="008661D4"/>
    <w:rsid w:val="00866D85"/>
    <w:rsid w:val="00867175"/>
    <w:rsid w:val="00870063"/>
    <w:rsid w:val="00870403"/>
    <w:rsid w:val="0087193B"/>
    <w:rsid w:val="00871CB1"/>
    <w:rsid w:val="0087275F"/>
    <w:rsid w:val="00872878"/>
    <w:rsid w:val="00872C53"/>
    <w:rsid w:val="00872EED"/>
    <w:rsid w:val="00873CC2"/>
    <w:rsid w:val="00873E9D"/>
    <w:rsid w:val="00874D60"/>
    <w:rsid w:val="0087669F"/>
    <w:rsid w:val="008809F6"/>
    <w:rsid w:val="00881E88"/>
    <w:rsid w:val="00882982"/>
    <w:rsid w:val="00885F3D"/>
    <w:rsid w:val="00886592"/>
    <w:rsid w:val="00887952"/>
    <w:rsid w:val="00887EE2"/>
    <w:rsid w:val="00891489"/>
    <w:rsid w:val="008938C0"/>
    <w:rsid w:val="00894F1F"/>
    <w:rsid w:val="00895CD0"/>
    <w:rsid w:val="008963A9"/>
    <w:rsid w:val="00896893"/>
    <w:rsid w:val="008970A2"/>
    <w:rsid w:val="008A059F"/>
    <w:rsid w:val="008A19E8"/>
    <w:rsid w:val="008A1CC1"/>
    <w:rsid w:val="008A29E8"/>
    <w:rsid w:val="008A2E5F"/>
    <w:rsid w:val="008A33C4"/>
    <w:rsid w:val="008A3AFA"/>
    <w:rsid w:val="008A40F5"/>
    <w:rsid w:val="008A5D84"/>
    <w:rsid w:val="008A7ED7"/>
    <w:rsid w:val="008B0F53"/>
    <w:rsid w:val="008B1EAF"/>
    <w:rsid w:val="008B2820"/>
    <w:rsid w:val="008B2973"/>
    <w:rsid w:val="008B4441"/>
    <w:rsid w:val="008B5B7B"/>
    <w:rsid w:val="008B5ECF"/>
    <w:rsid w:val="008B6DFE"/>
    <w:rsid w:val="008B7714"/>
    <w:rsid w:val="008C0F69"/>
    <w:rsid w:val="008C1A99"/>
    <w:rsid w:val="008C317C"/>
    <w:rsid w:val="008C5DD0"/>
    <w:rsid w:val="008C6F81"/>
    <w:rsid w:val="008C75ED"/>
    <w:rsid w:val="008C7D9E"/>
    <w:rsid w:val="008D154C"/>
    <w:rsid w:val="008D1EFE"/>
    <w:rsid w:val="008D432D"/>
    <w:rsid w:val="008D4B68"/>
    <w:rsid w:val="008D597D"/>
    <w:rsid w:val="008D6645"/>
    <w:rsid w:val="008D6B04"/>
    <w:rsid w:val="008D7A86"/>
    <w:rsid w:val="008E146D"/>
    <w:rsid w:val="008E19EB"/>
    <w:rsid w:val="008E1C34"/>
    <w:rsid w:val="008E1E28"/>
    <w:rsid w:val="008E2607"/>
    <w:rsid w:val="008E30DF"/>
    <w:rsid w:val="008E3107"/>
    <w:rsid w:val="008E4393"/>
    <w:rsid w:val="008E4D6E"/>
    <w:rsid w:val="008E53FD"/>
    <w:rsid w:val="008E5995"/>
    <w:rsid w:val="008E7031"/>
    <w:rsid w:val="008E7542"/>
    <w:rsid w:val="008F01B2"/>
    <w:rsid w:val="008F16A0"/>
    <w:rsid w:val="008F1B61"/>
    <w:rsid w:val="008F2138"/>
    <w:rsid w:val="008F4809"/>
    <w:rsid w:val="008F5538"/>
    <w:rsid w:val="008F5E51"/>
    <w:rsid w:val="008F60CE"/>
    <w:rsid w:val="008F6372"/>
    <w:rsid w:val="008F68C3"/>
    <w:rsid w:val="00901CB6"/>
    <w:rsid w:val="009036E3"/>
    <w:rsid w:val="00903DC0"/>
    <w:rsid w:val="0090500A"/>
    <w:rsid w:val="00906712"/>
    <w:rsid w:val="00907B62"/>
    <w:rsid w:val="009115A2"/>
    <w:rsid w:val="00912BE6"/>
    <w:rsid w:val="0091403E"/>
    <w:rsid w:val="00914849"/>
    <w:rsid w:val="00914ADC"/>
    <w:rsid w:val="00914E86"/>
    <w:rsid w:val="0091548C"/>
    <w:rsid w:val="00915C13"/>
    <w:rsid w:val="00916173"/>
    <w:rsid w:val="009177A9"/>
    <w:rsid w:val="00920014"/>
    <w:rsid w:val="00921703"/>
    <w:rsid w:val="00921951"/>
    <w:rsid w:val="00921BC2"/>
    <w:rsid w:val="00922571"/>
    <w:rsid w:val="00923525"/>
    <w:rsid w:val="00923C3F"/>
    <w:rsid w:val="0092441B"/>
    <w:rsid w:val="009247BF"/>
    <w:rsid w:val="00924DDD"/>
    <w:rsid w:val="00925A81"/>
    <w:rsid w:val="00925F66"/>
    <w:rsid w:val="009268E4"/>
    <w:rsid w:val="00926A4C"/>
    <w:rsid w:val="009270BA"/>
    <w:rsid w:val="00930307"/>
    <w:rsid w:val="00931C59"/>
    <w:rsid w:val="00931E66"/>
    <w:rsid w:val="00931F13"/>
    <w:rsid w:val="0093287A"/>
    <w:rsid w:val="009328AB"/>
    <w:rsid w:val="00932A2F"/>
    <w:rsid w:val="009334A5"/>
    <w:rsid w:val="0093419A"/>
    <w:rsid w:val="00935CF7"/>
    <w:rsid w:val="00935E23"/>
    <w:rsid w:val="0093628A"/>
    <w:rsid w:val="00936E02"/>
    <w:rsid w:val="0093755D"/>
    <w:rsid w:val="00937DB4"/>
    <w:rsid w:val="009406A2"/>
    <w:rsid w:val="0094162B"/>
    <w:rsid w:val="0094282D"/>
    <w:rsid w:val="0094322B"/>
    <w:rsid w:val="00943817"/>
    <w:rsid w:val="009449A3"/>
    <w:rsid w:val="00945C24"/>
    <w:rsid w:val="009539E9"/>
    <w:rsid w:val="00953FB8"/>
    <w:rsid w:val="00954195"/>
    <w:rsid w:val="00954E31"/>
    <w:rsid w:val="00955D1F"/>
    <w:rsid w:val="00957015"/>
    <w:rsid w:val="00957FEF"/>
    <w:rsid w:val="00960746"/>
    <w:rsid w:val="009612C5"/>
    <w:rsid w:val="00961EDE"/>
    <w:rsid w:val="00962972"/>
    <w:rsid w:val="0096418A"/>
    <w:rsid w:val="00966138"/>
    <w:rsid w:val="0096624A"/>
    <w:rsid w:val="00966480"/>
    <w:rsid w:val="00966A54"/>
    <w:rsid w:val="00970785"/>
    <w:rsid w:val="00971133"/>
    <w:rsid w:val="00971A7C"/>
    <w:rsid w:val="00971B82"/>
    <w:rsid w:val="00973A7F"/>
    <w:rsid w:val="009749CC"/>
    <w:rsid w:val="009767CC"/>
    <w:rsid w:val="00977608"/>
    <w:rsid w:val="00980B47"/>
    <w:rsid w:val="00981097"/>
    <w:rsid w:val="00981BFE"/>
    <w:rsid w:val="0098303A"/>
    <w:rsid w:val="00983264"/>
    <w:rsid w:val="009833DB"/>
    <w:rsid w:val="00983C23"/>
    <w:rsid w:val="009851C7"/>
    <w:rsid w:val="00985499"/>
    <w:rsid w:val="00985A81"/>
    <w:rsid w:val="00985D0C"/>
    <w:rsid w:val="00987206"/>
    <w:rsid w:val="00991CD6"/>
    <w:rsid w:val="00992BE2"/>
    <w:rsid w:val="009932C4"/>
    <w:rsid w:val="00996189"/>
    <w:rsid w:val="00996473"/>
    <w:rsid w:val="009979F1"/>
    <w:rsid w:val="00997B90"/>
    <w:rsid w:val="009A0135"/>
    <w:rsid w:val="009A305F"/>
    <w:rsid w:val="009A3C65"/>
    <w:rsid w:val="009A3CAB"/>
    <w:rsid w:val="009A49D6"/>
    <w:rsid w:val="009A5912"/>
    <w:rsid w:val="009A5E5A"/>
    <w:rsid w:val="009B0E25"/>
    <w:rsid w:val="009B0E62"/>
    <w:rsid w:val="009B19C1"/>
    <w:rsid w:val="009B2812"/>
    <w:rsid w:val="009B3CFA"/>
    <w:rsid w:val="009B3F71"/>
    <w:rsid w:val="009B42DD"/>
    <w:rsid w:val="009B7A73"/>
    <w:rsid w:val="009B7FB0"/>
    <w:rsid w:val="009C024D"/>
    <w:rsid w:val="009C0D25"/>
    <w:rsid w:val="009C219F"/>
    <w:rsid w:val="009C2D65"/>
    <w:rsid w:val="009C2DF5"/>
    <w:rsid w:val="009C31FA"/>
    <w:rsid w:val="009C49EC"/>
    <w:rsid w:val="009C5B66"/>
    <w:rsid w:val="009C6111"/>
    <w:rsid w:val="009C7365"/>
    <w:rsid w:val="009D0686"/>
    <w:rsid w:val="009D1F10"/>
    <w:rsid w:val="009D249C"/>
    <w:rsid w:val="009D365D"/>
    <w:rsid w:val="009D4267"/>
    <w:rsid w:val="009D4DAC"/>
    <w:rsid w:val="009D5419"/>
    <w:rsid w:val="009D5CAB"/>
    <w:rsid w:val="009D5D93"/>
    <w:rsid w:val="009D6973"/>
    <w:rsid w:val="009E0448"/>
    <w:rsid w:val="009E3564"/>
    <w:rsid w:val="009E38F4"/>
    <w:rsid w:val="009E4098"/>
    <w:rsid w:val="009E462F"/>
    <w:rsid w:val="009E4E86"/>
    <w:rsid w:val="009E587C"/>
    <w:rsid w:val="009E5E93"/>
    <w:rsid w:val="009E6F50"/>
    <w:rsid w:val="009E754D"/>
    <w:rsid w:val="009F03C9"/>
    <w:rsid w:val="009F1885"/>
    <w:rsid w:val="009F1D2C"/>
    <w:rsid w:val="009F2CE4"/>
    <w:rsid w:val="009F3C21"/>
    <w:rsid w:val="009F7046"/>
    <w:rsid w:val="009F70A3"/>
    <w:rsid w:val="009F70FD"/>
    <w:rsid w:val="00A03787"/>
    <w:rsid w:val="00A03D12"/>
    <w:rsid w:val="00A055C3"/>
    <w:rsid w:val="00A058CF"/>
    <w:rsid w:val="00A1052F"/>
    <w:rsid w:val="00A11D27"/>
    <w:rsid w:val="00A11F44"/>
    <w:rsid w:val="00A12ACF"/>
    <w:rsid w:val="00A12D00"/>
    <w:rsid w:val="00A12FA1"/>
    <w:rsid w:val="00A132DF"/>
    <w:rsid w:val="00A1365C"/>
    <w:rsid w:val="00A137D4"/>
    <w:rsid w:val="00A15F3C"/>
    <w:rsid w:val="00A16009"/>
    <w:rsid w:val="00A20055"/>
    <w:rsid w:val="00A2048F"/>
    <w:rsid w:val="00A20F52"/>
    <w:rsid w:val="00A21232"/>
    <w:rsid w:val="00A228C1"/>
    <w:rsid w:val="00A2440D"/>
    <w:rsid w:val="00A24812"/>
    <w:rsid w:val="00A24EB0"/>
    <w:rsid w:val="00A25518"/>
    <w:rsid w:val="00A25977"/>
    <w:rsid w:val="00A26A90"/>
    <w:rsid w:val="00A305B9"/>
    <w:rsid w:val="00A30FEF"/>
    <w:rsid w:val="00A31107"/>
    <w:rsid w:val="00A3120D"/>
    <w:rsid w:val="00A3130A"/>
    <w:rsid w:val="00A334D6"/>
    <w:rsid w:val="00A338BD"/>
    <w:rsid w:val="00A37628"/>
    <w:rsid w:val="00A37C5A"/>
    <w:rsid w:val="00A41352"/>
    <w:rsid w:val="00A414AA"/>
    <w:rsid w:val="00A415E5"/>
    <w:rsid w:val="00A4738C"/>
    <w:rsid w:val="00A507D1"/>
    <w:rsid w:val="00A508D9"/>
    <w:rsid w:val="00A5134D"/>
    <w:rsid w:val="00A51739"/>
    <w:rsid w:val="00A51979"/>
    <w:rsid w:val="00A51D7A"/>
    <w:rsid w:val="00A522AF"/>
    <w:rsid w:val="00A52D2B"/>
    <w:rsid w:val="00A53DBE"/>
    <w:rsid w:val="00A560F9"/>
    <w:rsid w:val="00A566C0"/>
    <w:rsid w:val="00A56A18"/>
    <w:rsid w:val="00A62CB1"/>
    <w:rsid w:val="00A63B31"/>
    <w:rsid w:val="00A643F9"/>
    <w:rsid w:val="00A67886"/>
    <w:rsid w:val="00A67FF8"/>
    <w:rsid w:val="00A70C0F"/>
    <w:rsid w:val="00A7176E"/>
    <w:rsid w:val="00A72331"/>
    <w:rsid w:val="00A723F2"/>
    <w:rsid w:val="00A73342"/>
    <w:rsid w:val="00A73A58"/>
    <w:rsid w:val="00A74216"/>
    <w:rsid w:val="00A75F53"/>
    <w:rsid w:val="00A76B27"/>
    <w:rsid w:val="00A76B82"/>
    <w:rsid w:val="00A771E1"/>
    <w:rsid w:val="00A775F5"/>
    <w:rsid w:val="00A77E14"/>
    <w:rsid w:val="00A858AA"/>
    <w:rsid w:val="00A85988"/>
    <w:rsid w:val="00A867B0"/>
    <w:rsid w:val="00A869BD"/>
    <w:rsid w:val="00A87293"/>
    <w:rsid w:val="00A93073"/>
    <w:rsid w:val="00A935E0"/>
    <w:rsid w:val="00A95CC5"/>
    <w:rsid w:val="00A968AC"/>
    <w:rsid w:val="00A970EC"/>
    <w:rsid w:val="00A971C0"/>
    <w:rsid w:val="00A9725C"/>
    <w:rsid w:val="00A977F4"/>
    <w:rsid w:val="00AA03AE"/>
    <w:rsid w:val="00AA0565"/>
    <w:rsid w:val="00AA17CA"/>
    <w:rsid w:val="00AA2A71"/>
    <w:rsid w:val="00AA2B09"/>
    <w:rsid w:val="00AA3C78"/>
    <w:rsid w:val="00AA4313"/>
    <w:rsid w:val="00AA5DC1"/>
    <w:rsid w:val="00AA63EE"/>
    <w:rsid w:val="00AA7779"/>
    <w:rsid w:val="00AA7DC0"/>
    <w:rsid w:val="00AB447D"/>
    <w:rsid w:val="00AB44E2"/>
    <w:rsid w:val="00AB4944"/>
    <w:rsid w:val="00AB7834"/>
    <w:rsid w:val="00AC07FC"/>
    <w:rsid w:val="00AC1AA6"/>
    <w:rsid w:val="00AC1BDF"/>
    <w:rsid w:val="00AC2840"/>
    <w:rsid w:val="00AC2BE0"/>
    <w:rsid w:val="00AC3FD1"/>
    <w:rsid w:val="00AC63FF"/>
    <w:rsid w:val="00AC7695"/>
    <w:rsid w:val="00AC7B88"/>
    <w:rsid w:val="00AD1742"/>
    <w:rsid w:val="00AD25DC"/>
    <w:rsid w:val="00AD26C7"/>
    <w:rsid w:val="00AD3C2E"/>
    <w:rsid w:val="00AD3F8D"/>
    <w:rsid w:val="00AD4C16"/>
    <w:rsid w:val="00AD5092"/>
    <w:rsid w:val="00AD6494"/>
    <w:rsid w:val="00AD736A"/>
    <w:rsid w:val="00AD7E92"/>
    <w:rsid w:val="00AE0EF8"/>
    <w:rsid w:val="00AE171E"/>
    <w:rsid w:val="00AE23F1"/>
    <w:rsid w:val="00AE29AB"/>
    <w:rsid w:val="00AE2AFD"/>
    <w:rsid w:val="00AE33D7"/>
    <w:rsid w:val="00AE3DA7"/>
    <w:rsid w:val="00AE4918"/>
    <w:rsid w:val="00AE5D53"/>
    <w:rsid w:val="00AE6433"/>
    <w:rsid w:val="00AE68FD"/>
    <w:rsid w:val="00AE7C23"/>
    <w:rsid w:val="00AF02CD"/>
    <w:rsid w:val="00AF1100"/>
    <w:rsid w:val="00AF2A89"/>
    <w:rsid w:val="00AF329E"/>
    <w:rsid w:val="00AF3874"/>
    <w:rsid w:val="00AF44FD"/>
    <w:rsid w:val="00AF4786"/>
    <w:rsid w:val="00AF538A"/>
    <w:rsid w:val="00AF53EC"/>
    <w:rsid w:val="00AF60F1"/>
    <w:rsid w:val="00B00703"/>
    <w:rsid w:val="00B01D9D"/>
    <w:rsid w:val="00B03094"/>
    <w:rsid w:val="00B0319D"/>
    <w:rsid w:val="00B0374F"/>
    <w:rsid w:val="00B0427E"/>
    <w:rsid w:val="00B0485F"/>
    <w:rsid w:val="00B04D17"/>
    <w:rsid w:val="00B05047"/>
    <w:rsid w:val="00B06453"/>
    <w:rsid w:val="00B07135"/>
    <w:rsid w:val="00B07988"/>
    <w:rsid w:val="00B07D03"/>
    <w:rsid w:val="00B10446"/>
    <w:rsid w:val="00B10749"/>
    <w:rsid w:val="00B12266"/>
    <w:rsid w:val="00B13C13"/>
    <w:rsid w:val="00B14273"/>
    <w:rsid w:val="00B15469"/>
    <w:rsid w:val="00B157F5"/>
    <w:rsid w:val="00B162AF"/>
    <w:rsid w:val="00B165FA"/>
    <w:rsid w:val="00B17150"/>
    <w:rsid w:val="00B17172"/>
    <w:rsid w:val="00B172B6"/>
    <w:rsid w:val="00B17DE4"/>
    <w:rsid w:val="00B211BE"/>
    <w:rsid w:val="00B22B22"/>
    <w:rsid w:val="00B22BB0"/>
    <w:rsid w:val="00B254E2"/>
    <w:rsid w:val="00B25846"/>
    <w:rsid w:val="00B2699A"/>
    <w:rsid w:val="00B27189"/>
    <w:rsid w:val="00B279B0"/>
    <w:rsid w:val="00B31317"/>
    <w:rsid w:val="00B3318A"/>
    <w:rsid w:val="00B347DD"/>
    <w:rsid w:val="00B34D4E"/>
    <w:rsid w:val="00B371A9"/>
    <w:rsid w:val="00B376BF"/>
    <w:rsid w:val="00B41982"/>
    <w:rsid w:val="00B419E6"/>
    <w:rsid w:val="00B4429D"/>
    <w:rsid w:val="00B443CC"/>
    <w:rsid w:val="00B4486A"/>
    <w:rsid w:val="00B4550A"/>
    <w:rsid w:val="00B50EE1"/>
    <w:rsid w:val="00B529C2"/>
    <w:rsid w:val="00B54E1B"/>
    <w:rsid w:val="00B55BE6"/>
    <w:rsid w:val="00B62198"/>
    <w:rsid w:val="00B6265C"/>
    <w:rsid w:val="00B62CB7"/>
    <w:rsid w:val="00B630C5"/>
    <w:rsid w:val="00B637A9"/>
    <w:rsid w:val="00B64DF7"/>
    <w:rsid w:val="00B6563C"/>
    <w:rsid w:val="00B65726"/>
    <w:rsid w:val="00B65C51"/>
    <w:rsid w:val="00B6698E"/>
    <w:rsid w:val="00B67DD9"/>
    <w:rsid w:val="00B706E9"/>
    <w:rsid w:val="00B7073C"/>
    <w:rsid w:val="00B70FCA"/>
    <w:rsid w:val="00B72C8F"/>
    <w:rsid w:val="00B73281"/>
    <w:rsid w:val="00B756C9"/>
    <w:rsid w:val="00B757BE"/>
    <w:rsid w:val="00B76155"/>
    <w:rsid w:val="00B765BD"/>
    <w:rsid w:val="00B76AE7"/>
    <w:rsid w:val="00B76F7F"/>
    <w:rsid w:val="00B77A2E"/>
    <w:rsid w:val="00B80025"/>
    <w:rsid w:val="00B807BD"/>
    <w:rsid w:val="00B80DCF"/>
    <w:rsid w:val="00B81956"/>
    <w:rsid w:val="00B82D0B"/>
    <w:rsid w:val="00B83B5B"/>
    <w:rsid w:val="00B85067"/>
    <w:rsid w:val="00B86AE0"/>
    <w:rsid w:val="00B86D18"/>
    <w:rsid w:val="00B874EA"/>
    <w:rsid w:val="00B91F71"/>
    <w:rsid w:val="00B92674"/>
    <w:rsid w:val="00B928B5"/>
    <w:rsid w:val="00B935FB"/>
    <w:rsid w:val="00B954B2"/>
    <w:rsid w:val="00B96075"/>
    <w:rsid w:val="00B9615D"/>
    <w:rsid w:val="00BA00A9"/>
    <w:rsid w:val="00BA014F"/>
    <w:rsid w:val="00BA1DED"/>
    <w:rsid w:val="00BA326C"/>
    <w:rsid w:val="00BA3C3D"/>
    <w:rsid w:val="00BA56D8"/>
    <w:rsid w:val="00BA654C"/>
    <w:rsid w:val="00BA6BE0"/>
    <w:rsid w:val="00BB076D"/>
    <w:rsid w:val="00BB2636"/>
    <w:rsid w:val="00BB2C8F"/>
    <w:rsid w:val="00BB4171"/>
    <w:rsid w:val="00BB6EED"/>
    <w:rsid w:val="00BB7109"/>
    <w:rsid w:val="00BB7932"/>
    <w:rsid w:val="00BC0304"/>
    <w:rsid w:val="00BC0EA5"/>
    <w:rsid w:val="00BC3D55"/>
    <w:rsid w:val="00BC415C"/>
    <w:rsid w:val="00BC41C9"/>
    <w:rsid w:val="00BC48F2"/>
    <w:rsid w:val="00BC5A6C"/>
    <w:rsid w:val="00BC6646"/>
    <w:rsid w:val="00BC66EA"/>
    <w:rsid w:val="00BC68B1"/>
    <w:rsid w:val="00BD171A"/>
    <w:rsid w:val="00BD1820"/>
    <w:rsid w:val="00BD1A10"/>
    <w:rsid w:val="00BD31C7"/>
    <w:rsid w:val="00BD3ABC"/>
    <w:rsid w:val="00BD3C22"/>
    <w:rsid w:val="00BD3E24"/>
    <w:rsid w:val="00BD4B84"/>
    <w:rsid w:val="00BD512C"/>
    <w:rsid w:val="00BD5AF4"/>
    <w:rsid w:val="00BD6685"/>
    <w:rsid w:val="00BD7727"/>
    <w:rsid w:val="00BD7FA7"/>
    <w:rsid w:val="00BE0259"/>
    <w:rsid w:val="00BE0C9C"/>
    <w:rsid w:val="00BE2090"/>
    <w:rsid w:val="00BE29B0"/>
    <w:rsid w:val="00BE2BC0"/>
    <w:rsid w:val="00BE2BD1"/>
    <w:rsid w:val="00BE3CF7"/>
    <w:rsid w:val="00BE4418"/>
    <w:rsid w:val="00BE45B4"/>
    <w:rsid w:val="00BE4B10"/>
    <w:rsid w:val="00BE5AFE"/>
    <w:rsid w:val="00BE5F8E"/>
    <w:rsid w:val="00BE613E"/>
    <w:rsid w:val="00BE6241"/>
    <w:rsid w:val="00BE7978"/>
    <w:rsid w:val="00BE7A4C"/>
    <w:rsid w:val="00BF04B8"/>
    <w:rsid w:val="00BF1156"/>
    <w:rsid w:val="00BF236C"/>
    <w:rsid w:val="00BF2D78"/>
    <w:rsid w:val="00BF56B1"/>
    <w:rsid w:val="00BF5DC1"/>
    <w:rsid w:val="00BF65C6"/>
    <w:rsid w:val="00BF72C7"/>
    <w:rsid w:val="00BF7FAE"/>
    <w:rsid w:val="00C00A07"/>
    <w:rsid w:val="00C00F90"/>
    <w:rsid w:val="00C00FE9"/>
    <w:rsid w:val="00C011FB"/>
    <w:rsid w:val="00C037A5"/>
    <w:rsid w:val="00C0413C"/>
    <w:rsid w:val="00C04D26"/>
    <w:rsid w:val="00C05339"/>
    <w:rsid w:val="00C0605E"/>
    <w:rsid w:val="00C06422"/>
    <w:rsid w:val="00C0673E"/>
    <w:rsid w:val="00C06D31"/>
    <w:rsid w:val="00C06E42"/>
    <w:rsid w:val="00C07C93"/>
    <w:rsid w:val="00C112B9"/>
    <w:rsid w:val="00C114B2"/>
    <w:rsid w:val="00C11946"/>
    <w:rsid w:val="00C11CF2"/>
    <w:rsid w:val="00C123ED"/>
    <w:rsid w:val="00C12E0C"/>
    <w:rsid w:val="00C1310F"/>
    <w:rsid w:val="00C13C09"/>
    <w:rsid w:val="00C13D17"/>
    <w:rsid w:val="00C13E2C"/>
    <w:rsid w:val="00C141AA"/>
    <w:rsid w:val="00C14CF8"/>
    <w:rsid w:val="00C159BE"/>
    <w:rsid w:val="00C15F49"/>
    <w:rsid w:val="00C17616"/>
    <w:rsid w:val="00C178A9"/>
    <w:rsid w:val="00C20612"/>
    <w:rsid w:val="00C20B4E"/>
    <w:rsid w:val="00C2452E"/>
    <w:rsid w:val="00C24E17"/>
    <w:rsid w:val="00C255B6"/>
    <w:rsid w:val="00C25BEB"/>
    <w:rsid w:val="00C26F52"/>
    <w:rsid w:val="00C27911"/>
    <w:rsid w:val="00C32BBC"/>
    <w:rsid w:val="00C33230"/>
    <w:rsid w:val="00C33CD5"/>
    <w:rsid w:val="00C363FC"/>
    <w:rsid w:val="00C369E9"/>
    <w:rsid w:val="00C37FC1"/>
    <w:rsid w:val="00C42BD6"/>
    <w:rsid w:val="00C42CD0"/>
    <w:rsid w:val="00C43652"/>
    <w:rsid w:val="00C44915"/>
    <w:rsid w:val="00C44BE0"/>
    <w:rsid w:val="00C4549F"/>
    <w:rsid w:val="00C45C1B"/>
    <w:rsid w:val="00C4629F"/>
    <w:rsid w:val="00C46E28"/>
    <w:rsid w:val="00C46FF5"/>
    <w:rsid w:val="00C473F8"/>
    <w:rsid w:val="00C47AB0"/>
    <w:rsid w:val="00C51401"/>
    <w:rsid w:val="00C53ED9"/>
    <w:rsid w:val="00C53F6C"/>
    <w:rsid w:val="00C5436F"/>
    <w:rsid w:val="00C5439D"/>
    <w:rsid w:val="00C543C0"/>
    <w:rsid w:val="00C54559"/>
    <w:rsid w:val="00C548DA"/>
    <w:rsid w:val="00C549D5"/>
    <w:rsid w:val="00C56021"/>
    <w:rsid w:val="00C562E2"/>
    <w:rsid w:val="00C60A6B"/>
    <w:rsid w:val="00C60C08"/>
    <w:rsid w:val="00C6179A"/>
    <w:rsid w:val="00C618C1"/>
    <w:rsid w:val="00C6339B"/>
    <w:rsid w:val="00C6582E"/>
    <w:rsid w:val="00C65843"/>
    <w:rsid w:val="00C665AB"/>
    <w:rsid w:val="00C6682F"/>
    <w:rsid w:val="00C6698B"/>
    <w:rsid w:val="00C6704C"/>
    <w:rsid w:val="00C67351"/>
    <w:rsid w:val="00C67909"/>
    <w:rsid w:val="00C71063"/>
    <w:rsid w:val="00C728CD"/>
    <w:rsid w:val="00C731B8"/>
    <w:rsid w:val="00C736D1"/>
    <w:rsid w:val="00C739C9"/>
    <w:rsid w:val="00C73D14"/>
    <w:rsid w:val="00C74B6D"/>
    <w:rsid w:val="00C76A88"/>
    <w:rsid w:val="00C76E10"/>
    <w:rsid w:val="00C76FC9"/>
    <w:rsid w:val="00C77082"/>
    <w:rsid w:val="00C770BC"/>
    <w:rsid w:val="00C7719F"/>
    <w:rsid w:val="00C80A0E"/>
    <w:rsid w:val="00C80CA5"/>
    <w:rsid w:val="00C81769"/>
    <w:rsid w:val="00C821B4"/>
    <w:rsid w:val="00C8335D"/>
    <w:rsid w:val="00C84D21"/>
    <w:rsid w:val="00C850CB"/>
    <w:rsid w:val="00C8748D"/>
    <w:rsid w:val="00C9014F"/>
    <w:rsid w:val="00C90465"/>
    <w:rsid w:val="00C90F16"/>
    <w:rsid w:val="00C91C08"/>
    <w:rsid w:val="00C9236F"/>
    <w:rsid w:val="00C94301"/>
    <w:rsid w:val="00C946F9"/>
    <w:rsid w:val="00C9518B"/>
    <w:rsid w:val="00C95C97"/>
    <w:rsid w:val="00C9623B"/>
    <w:rsid w:val="00CA06B7"/>
    <w:rsid w:val="00CA0877"/>
    <w:rsid w:val="00CA0970"/>
    <w:rsid w:val="00CA0A6B"/>
    <w:rsid w:val="00CA2FA3"/>
    <w:rsid w:val="00CA324F"/>
    <w:rsid w:val="00CA3D03"/>
    <w:rsid w:val="00CA513C"/>
    <w:rsid w:val="00CA5612"/>
    <w:rsid w:val="00CA5EE9"/>
    <w:rsid w:val="00CA659E"/>
    <w:rsid w:val="00CA7C1E"/>
    <w:rsid w:val="00CB10CE"/>
    <w:rsid w:val="00CB1C73"/>
    <w:rsid w:val="00CB2156"/>
    <w:rsid w:val="00CB2652"/>
    <w:rsid w:val="00CB3A56"/>
    <w:rsid w:val="00CB3E2D"/>
    <w:rsid w:val="00CB4224"/>
    <w:rsid w:val="00CB559B"/>
    <w:rsid w:val="00CB5CA5"/>
    <w:rsid w:val="00CB60F2"/>
    <w:rsid w:val="00CB60FE"/>
    <w:rsid w:val="00CC00B6"/>
    <w:rsid w:val="00CC01D1"/>
    <w:rsid w:val="00CC13EB"/>
    <w:rsid w:val="00CC16D2"/>
    <w:rsid w:val="00CC3131"/>
    <w:rsid w:val="00CC4470"/>
    <w:rsid w:val="00CC57EE"/>
    <w:rsid w:val="00CC5F13"/>
    <w:rsid w:val="00CC629C"/>
    <w:rsid w:val="00CD03D1"/>
    <w:rsid w:val="00CD0EEB"/>
    <w:rsid w:val="00CD0F29"/>
    <w:rsid w:val="00CD1D84"/>
    <w:rsid w:val="00CD24D8"/>
    <w:rsid w:val="00CD2EE1"/>
    <w:rsid w:val="00CD330F"/>
    <w:rsid w:val="00CD38A0"/>
    <w:rsid w:val="00CD3D5D"/>
    <w:rsid w:val="00CD455B"/>
    <w:rsid w:val="00CD49F1"/>
    <w:rsid w:val="00CD60E0"/>
    <w:rsid w:val="00CD636D"/>
    <w:rsid w:val="00CE1235"/>
    <w:rsid w:val="00CE125C"/>
    <w:rsid w:val="00CE303D"/>
    <w:rsid w:val="00CE30A3"/>
    <w:rsid w:val="00CE35A7"/>
    <w:rsid w:val="00CE4889"/>
    <w:rsid w:val="00CE4AEB"/>
    <w:rsid w:val="00CE4B34"/>
    <w:rsid w:val="00CE5D1E"/>
    <w:rsid w:val="00CE5E5C"/>
    <w:rsid w:val="00CE6067"/>
    <w:rsid w:val="00CE72CB"/>
    <w:rsid w:val="00CF072B"/>
    <w:rsid w:val="00CF2E03"/>
    <w:rsid w:val="00CF3815"/>
    <w:rsid w:val="00CF3B61"/>
    <w:rsid w:val="00CF48F0"/>
    <w:rsid w:val="00CF4EAF"/>
    <w:rsid w:val="00CF5D33"/>
    <w:rsid w:val="00D001D4"/>
    <w:rsid w:val="00D011D1"/>
    <w:rsid w:val="00D01233"/>
    <w:rsid w:val="00D0156F"/>
    <w:rsid w:val="00D01727"/>
    <w:rsid w:val="00D01D54"/>
    <w:rsid w:val="00D02E05"/>
    <w:rsid w:val="00D03D69"/>
    <w:rsid w:val="00D04B08"/>
    <w:rsid w:val="00D0555F"/>
    <w:rsid w:val="00D057C0"/>
    <w:rsid w:val="00D0602A"/>
    <w:rsid w:val="00D064BD"/>
    <w:rsid w:val="00D0724E"/>
    <w:rsid w:val="00D11279"/>
    <w:rsid w:val="00D112BB"/>
    <w:rsid w:val="00D11947"/>
    <w:rsid w:val="00D11FFE"/>
    <w:rsid w:val="00D127A1"/>
    <w:rsid w:val="00D12C0F"/>
    <w:rsid w:val="00D12CAF"/>
    <w:rsid w:val="00D132DC"/>
    <w:rsid w:val="00D13B67"/>
    <w:rsid w:val="00D13F36"/>
    <w:rsid w:val="00D145DF"/>
    <w:rsid w:val="00D146C9"/>
    <w:rsid w:val="00D149EB"/>
    <w:rsid w:val="00D16156"/>
    <w:rsid w:val="00D16362"/>
    <w:rsid w:val="00D16E0F"/>
    <w:rsid w:val="00D1726E"/>
    <w:rsid w:val="00D2015E"/>
    <w:rsid w:val="00D2119E"/>
    <w:rsid w:val="00D21C8F"/>
    <w:rsid w:val="00D21CB3"/>
    <w:rsid w:val="00D25960"/>
    <w:rsid w:val="00D25F20"/>
    <w:rsid w:val="00D26038"/>
    <w:rsid w:val="00D26EC3"/>
    <w:rsid w:val="00D2734A"/>
    <w:rsid w:val="00D30F87"/>
    <w:rsid w:val="00D312B8"/>
    <w:rsid w:val="00D312D1"/>
    <w:rsid w:val="00D31DE8"/>
    <w:rsid w:val="00D37450"/>
    <w:rsid w:val="00D401D9"/>
    <w:rsid w:val="00D40288"/>
    <w:rsid w:val="00D40652"/>
    <w:rsid w:val="00D406BA"/>
    <w:rsid w:val="00D425A4"/>
    <w:rsid w:val="00D43603"/>
    <w:rsid w:val="00D43D52"/>
    <w:rsid w:val="00D464C9"/>
    <w:rsid w:val="00D50612"/>
    <w:rsid w:val="00D5115A"/>
    <w:rsid w:val="00D53B40"/>
    <w:rsid w:val="00D53C62"/>
    <w:rsid w:val="00D5523F"/>
    <w:rsid w:val="00D55DB3"/>
    <w:rsid w:val="00D606B2"/>
    <w:rsid w:val="00D60F28"/>
    <w:rsid w:val="00D61C9A"/>
    <w:rsid w:val="00D61DEB"/>
    <w:rsid w:val="00D64630"/>
    <w:rsid w:val="00D64A4A"/>
    <w:rsid w:val="00D659C7"/>
    <w:rsid w:val="00D65B0B"/>
    <w:rsid w:val="00D66B2D"/>
    <w:rsid w:val="00D66E25"/>
    <w:rsid w:val="00D66FC5"/>
    <w:rsid w:val="00D717EF"/>
    <w:rsid w:val="00D72A08"/>
    <w:rsid w:val="00D73A1D"/>
    <w:rsid w:val="00D7400C"/>
    <w:rsid w:val="00D7581A"/>
    <w:rsid w:val="00D7681E"/>
    <w:rsid w:val="00D80BA6"/>
    <w:rsid w:val="00D814BD"/>
    <w:rsid w:val="00D83E8C"/>
    <w:rsid w:val="00D84D54"/>
    <w:rsid w:val="00D85026"/>
    <w:rsid w:val="00D85253"/>
    <w:rsid w:val="00D8595F"/>
    <w:rsid w:val="00D87152"/>
    <w:rsid w:val="00D90BEE"/>
    <w:rsid w:val="00D911EA"/>
    <w:rsid w:val="00D91435"/>
    <w:rsid w:val="00D91E5A"/>
    <w:rsid w:val="00D93893"/>
    <w:rsid w:val="00D93A54"/>
    <w:rsid w:val="00D93D00"/>
    <w:rsid w:val="00D94FB4"/>
    <w:rsid w:val="00D95AC1"/>
    <w:rsid w:val="00D95B63"/>
    <w:rsid w:val="00D96207"/>
    <w:rsid w:val="00D97874"/>
    <w:rsid w:val="00DA0A89"/>
    <w:rsid w:val="00DA1A40"/>
    <w:rsid w:val="00DA1BF7"/>
    <w:rsid w:val="00DA1F59"/>
    <w:rsid w:val="00DA3085"/>
    <w:rsid w:val="00DA3BC0"/>
    <w:rsid w:val="00DA3EF0"/>
    <w:rsid w:val="00DB03D2"/>
    <w:rsid w:val="00DB1365"/>
    <w:rsid w:val="00DB1368"/>
    <w:rsid w:val="00DB1FFE"/>
    <w:rsid w:val="00DB20E9"/>
    <w:rsid w:val="00DB2DD6"/>
    <w:rsid w:val="00DB2F0D"/>
    <w:rsid w:val="00DB3FFC"/>
    <w:rsid w:val="00DB4D5C"/>
    <w:rsid w:val="00DB544E"/>
    <w:rsid w:val="00DB6EBF"/>
    <w:rsid w:val="00DC0AF9"/>
    <w:rsid w:val="00DC55F0"/>
    <w:rsid w:val="00DC6AE3"/>
    <w:rsid w:val="00DC6BB9"/>
    <w:rsid w:val="00DC6E03"/>
    <w:rsid w:val="00DC6FCA"/>
    <w:rsid w:val="00DD05F3"/>
    <w:rsid w:val="00DD1657"/>
    <w:rsid w:val="00DD1A99"/>
    <w:rsid w:val="00DD26AD"/>
    <w:rsid w:val="00DD33B8"/>
    <w:rsid w:val="00DD3644"/>
    <w:rsid w:val="00DD3CEB"/>
    <w:rsid w:val="00DD4E63"/>
    <w:rsid w:val="00DD5F13"/>
    <w:rsid w:val="00DD5F23"/>
    <w:rsid w:val="00DD74AA"/>
    <w:rsid w:val="00DD75E5"/>
    <w:rsid w:val="00DE0016"/>
    <w:rsid w:val="00DE07C3"/>
    <w:rsid w:val="00DE14CA"/>
    <w:rsid w:val="00DE2826"/>
    <w:rsid w:val="00DE2A2E"/>
    <w:rsid w:val="00DE3C51"/>
    <w:rsid w:val="00DE3E34"/>
    <w:rsid w:val="00DE4562"/>
    <w:rsid w:val="00DE4BEF"/>
    <w:rsid w:val="00DE5F6B"/>
    <w:rsid w:val="00DE5FA6"/>
    <w:rsid w:val="00DE7BF1"/>
    <w:rsid w:val="00DE7E1A"/>
    <w:rsid w:val="00DF1BAC"/>
    <w:rsid w:val="00DF268F"/>
    <w:rsid w:val="00DF5DA7"/>
    <w:rsid w:val="00DF6903"/>
    <w:rsid w:val="00E00883"/>
    <w:rsid w:val="00E00BC6"/>
    <w:rsid w:val="00E01019"/>
    <w:rsid w:val="00E01244"/>
    <w:rsid w:val="00E01F0B"/>
    <w:rsid w:val="00E041A4"/>
    <w:rsid w:val="00E04AD0"/>
    <w:rsid w:val="00E04AF8"/>
    <w:rsid w:val="00E04E04"/>
    <w:rsid w:val="00E0602B"/>
    <w:rsid w:val="00E10407"/>
    <w:rsid w:val="00E1119C"/>
    <w:rsid w:val="00E124E8"/>
    <w:rsid w:val="00E13748"/>
    <w:rsid w:val="00E138C8"/>
    <w:rsid w:val="00E13DF0"/>
    <w:rsid w:val="00E15538"/>
    <w:rsid w:val="00E2096F"/>
    <w:rsid w:val="00E2155B"/>
    <w:rsid w:val="00E21DA9"/>
    <w:rsid w:val="00E229DF"/>
    <w:rsid w:val="00E23844"/>
    <w:rsid w:val="00E2712D"/>
    <w:rsid w:val="00E27730"/>
    <w:rsid w:val="00E304F8"/>
    <w:rsid w:val="00E32529"/>
    <w:rsid w:val="00E33AAE"/>
    <w:rsid w:val="00E33B3B"/>
    <w:rsid w:val="00E33FAF"/>
    <w:rsid w:val="00E342E6"/>
    <w:rsid w:val="00E34445"/>
    <w:rsid w:val="00E35371"/>
    <w:rsid w:val="00E35CA7"/>
    <w:rsid w:val="00E3687A"/>
    <w:rsid w:val="00E37897"/>
    <w:rsid w:val="00E37C0C"/>
    <w:rsid w:val="00E40F38"/>
    <w:rsid w:val="00E42643"/>
    <w:rsid w:val="00E45DBA"/>
    <w:rsid w:val="00E45E2F"/>
    <w:rsid w:val="00E46692"/>
    <w:rsid w:val="00E47F8D"/>
    <w:rsid w:val="00E50370"/>
    <w:rsid w:val="00E506BB"/>
    <w:rsid w:val="00E507C5"/>
    <w:rsid w:val="00E5107B"/>
    <w:rsid w:val="00E5195A"/>
    <w:rsid w:val="00E51DAC"/>
    <w:rsid w:val="00E525C4"/>
    <w:rsid w:val="00E54ECF"/>
    <w:rsid w:val="00E553D2"/>
    <w:rsid w:val="00E55530"/>
    <w:rsid w:val="00E5784F"/>
    <w:rsid w:val="00E57A1E"/>
    <w:rsid w:val="00E57FF9"/>
    <w:rsid w:val="00E602CB"/>
    <w:rsid w:val="00E60343"/>
    <w:rsid w:val="00E60891"/>
    <w:rsid w:val="00E60CB8"/>
    <w:rsid w:val="00E61060"/>
    <w:rsid w:val="00E61093"/>
    <w:rsid w:val="00E61577"/>
    <w:rsid w:val="00E6307F"/>
    <w:rsid w:val="00E64E87"/>
    <w:rsid w:val="00E64FF6"/>
    <w:rsid w:val="00E66A88"/>
    <w:rsid w:val="00E67387"/>
    <w:rsid w:val="00E70003"/>
    <w:rsid w:val="00E71543"/>
    <w:rsid w:val="00E719D1"/>
    <w:rsid w:val="00E72027"/>
    <w:rsid w:val="00E723B3"/>
    <w:rsid w:val="00E73A0F"/>
    <w:rsid w:val="00E75845"/>
    <w:rsid w:val="00E77B16"/>
    <w:rsid w:val="00E77E62"/>
    <w:rsid w:val="00E80490"/>
    <w:rsid w:val="00E806DC"/>
    <w:rsid w:val="00E80887"/>
    <w:rsid w:val="00E81E54"/>
    <w:rsid w:val="00E82C4E"/>
    <w:rsid w:val="00E83077"/>
    <w:rsid w:val="00E8316D"/>
    <w:rsid w:val="00E8456D"/>
    <w:rsid w:val="00E85B2F"/>
    <w:rsid w:val="00E86E63"/>
    <w:rsid w:val="00E90265"/>
    <w:rsid w:val="00E92A4B"/>
    <w:rsid w:val="00E92BC9"/>
    <w:rsid w:val="00E94961"/>
    <w:rsid w:val="00E94B6A"/>
    <w:rsid w:val="00E94ED2"/>
    <w:rsid w:val="00E95DAE"/>
    <w:rsid w:val="00E96451"/>
    <w:rsid w:val="00E96670"/>
    <w:rsid w:val="00E975AB"/>
    <w:rsid w:val="00E97AE1"/>
    <w:rsid w:val="00EA0059"/>
    <w:rsid w:val="00EA0C82"/>
    <w:rsid w:val="00EA1352"/>
    <w:rsid w:val="00EA1E3F"/>
    <w:rsid w:val="00EA1F05"/>
    <w:rsid w:val="00EA241D"/>
    <w:rsid w:val="00EA2EAF"/>
    <w:rsid w:val="00EA3030"/>
    <w:rsid w:val="00EA31A8"/>
    <w:rsid w:val="00EA661F"/>
    <w:rsid w:val="00EB0CEC"/>
    <w:rsid w:val="00EB1AE9"/>
    <w:rsid w:val="00EB39B6"/>
    <w:rsid w:val="00EB456F"/>
    <w:rsid w:val="00EB45AB"/>
    <w:rsid w:val="00EB542C"/>
    <w:rsid w:val="00EB58C0"/>
    <w:rsid w:val="00EB77F5"/>
    <w:rsid w:val="00EC137D"/>
    <w:rsid w:val="00EC1902"/>
    <w:rsid w:val="00EC2F68"/>
    <w:rsid w:val="00EC4EA6"/>
    <w:rsid w:val="00EC62C0"/>
    <w:rsid w:val="00EC6BC7"/>
    <w:rsid w:val="00EC6FC1"/>
    <w:rsid w:val="00EC7B13"/>
    <w:rsid w:val="00EC7F2C"/>
    <w:rsid w:val="00ED044B"/>
    <w:rsid w:val="00ED12C5"/>
    <w:rsid w:val="00ED1EE1"/>
    <w:rsid w:val="00ED242D"/>
    <w:rsid w:val="00ED2459"/>
    <w:rsid w:val="00ED24A7"/>
    <w:rsid w:val="00ED2D43"/>
    <w:rsid w:val="00ED3211"/>
    <w:rsid w:val="00ED4CCE"/>
    <w:rsid w:val="00ED6068"/>
    <w:rsid w:val="00ED759D"/>
    <w:rsid w:val="00ED7955"/>
    <w:rsid w:val="00ED7C78"/>
    <w:rsid w:val="00EE123E"/>
    <w:rsid w:val="00EE1297"/>
    <w:rsid w:val="00EE179D"/>
    <w:rsid w:val="00EE1C02"/>
    <w:rsid w:val="00EE22CB"/>
    <w:rsid w:val="00EE2BC3"/>
    <w:rsid w:val="00EE30B7"/>
    <w:rsid w:val="00EE3447"/>
    <w:rsid w:val="00EE3B80"/>
    <w:rsid w:val="00EE4FD2"/>
    <w:rsid w:val="00EE53BB"/>
    <w:rsid w:val="00EE68FC"/>
    <w:rsid w:val="00EE6DCB"/>
    <w:rsid w:val="00EE765F"/>
    <w:rsid w:val="00EF1E00"/>
    <w:rsid w:val="00EF4182"/>
    <w:rsid w:val="00EF4D67"/>
    <w:rsid w:val="00EF502B"/>
    <w:rsid w:val="00EF5801"/>
    <w:rsid w:val="00EF7454"/>
    <w:rsid w:val="00EF783D"/>
    <w:rsid w:val="00F00B2B"/>
    <w:rsid w:val="00F0135D"/>
    <w:rsid w:val="00F02F30"/>
    <w:rsid w:val="00F03DA1"/>
    <w:rsid w:val="00F05FF4"/>
    <w:rsid w:val="00F06F2C"/>
    <w:rsid w:val="00F13F96"/>
    <w:rsid w:val="00F15479"/>
    <w:rsid w:val="00F15EB6"/>
    <w:rsid w:val="00F206E4"/>
    <w:rsid w:val="00F216CA"/>
    <w:rsid w:val="00F2444C"/>
    <w:rsid w:val="00F27995"/>
    <w:rsid w:val="00F3017D"/>
    <w:rsid w:val="00F31036"/>
    <w:rsid w:val="00F32085"/>
    <w:rsid w:val="00F37B79"/>
    <w:rsid w:val="00F407F4"/>
    <w:rsid w:val="00F41086"/>
    <w:rsid w:val="00F42FAF"/>
    <w:rsid w:val="00F4429A"/>
    <w:rsid w:val="00F445BF"/>
    <w:rsid w:val="00F45F06"/>
    <w:rsid w:val="00F46097"/>
    <w:rsid w:val="00F472BA"/>
    <w:rsid w:val="00F472C5"/>
    <w:rsid w:val="00F51040"/>
    <w:rsid w:val="00F51942"/>
    <w:rsid w:val="00F52135"/>
    <w:rsid w:val="00F53268"/>
    <w:rsid w:val="00F555EA"/>
    <w:rsid w:val="00F55750"/>
    <w:rsid w:val="00F5746D"/>
    <w:rsid w:val="00F60844"/>
    <w:rsid w:val="00F618F2"/>
    <w:rsid w:val="00F61917"/>
    <w:rsid w:val="00F62451"/>
    <w:rsid w:val="00F639BB"/>
    <w:rsid w:val="00F65BF7"/>
    <w:rsid w:val="00F668E4"/>
    <w:rsid w:val="00F67F51"/>
    <w:rsid w:val="00F7055A"/>
    <w:rsid w:val="00F706C2"/>
    <w:rsid w:val="00F71EF4"/>
    <w:rsid w:val="00F7331F"/>
    <w:rsid w:val="00F75229"/>
    <w:rsid w:val="00F75B3E"/>
    <w:rsid w:val="00F76F51"/>
    <w:rsid w:val="00F77685"/>
    <w:rsid w:val="00F8041C"/>
    <w:rsid w:val="00F814CB"/>
    <w:rsid w:val="00F8240C"/>
    <w:rsid w:val="00F837C4"/>
    <w:rsid w:val="00F842CB"/>
    <w:rsid w:val="00F84767"/>
    <w:rsid w:val="00F8559F"/>
    <w:rsid w:val="00F8643A"/>
    <w:rsid w:val="00F86C26"/>
    <w:rsid w:val="00F8703B"/>
    <w:rsid w:val="00F90AFB"/>
    <w:rsid w:val="00F90B7C"/>
    <w:rsid w:val="00F91D9E"/>
    <w:rsid w:val="00F922EC"/>
    <w:rsid w:val="00F9303B"/>
    <w:rsid w:val="00F93459"/>
    <w:rsid w:val="00F93A15"/>
    <w:rsid w:val="00F93BE1"/>
    <w:rsid w:val="00F95337"/>
    <w:rsid w:val="00F9581A"/>
    <w:rsid w:val="00F95EC5"/>
    <w:rsid w:val="00F97050"/>
    <w:rsid w:val="00F972C6"/>
    <w:rsid w:val="00F97789"/>
    <w:rsid w:val="00F97DBE"/>
    <w:rsid w:val="00FA00F9"/>
    <w:rsid w:val="00FA26A3"/>
    <w:rsid w:val="00FA2DAC"/>
    <w:rsid w:val="00FA54E2"/>
    <w:rsid w:val="00FA5BB4"/>
    <w:rsid w:val="00FA7097"/>
    <w:rsid w:val="00FA7954"/>
    <w:rsid w:val="00FA7E00"/>
    <w:rsid w:val="00FB225D"/>
    <w:rsid w:val="00FB3213"/>
    <w:rsid w:val="00FB3E65"/>
    <w:rsid w:val="00FB7120"/>
    <w:rsid w:val="00FC0933"/>
    <w:rsid w:val="00FC3DB4"/>
    <w:rsid w:val="00FC51DE"/>
    <w:rsid w:val="00FC53D1"/>
    <w:rsid w:val="00FC6214"/>
    <w:rsid w:val="00FC645C"/>
    <w:rsid w:val="00FC6884"/>
    <w:rsid w:val="00FC688E"/>
    <w:rsid w:val="00FC72AC"/>
    <w:rsid w:val="00FD358B"/>
    <w:rsid w:val="00FD4011"/>
    <w:rsid w:val="00FD4DBA"/>
    <w:rsid w:val="00FD5EB9"/>
    <w:rsid w:val="00FD693E"/>
    <w:rsid w:val="00FD6C7C"/>
    <w:rsid w:val="00FD77EA"/>
    <w:rsid w:val="00FE00FA"/>
    <w:rsid w:val="00FE07EB"/>
    <w:rsid w:val="00FE0B91"/>
    <w:rsid w:val="00FE3AF4"/>
    <w:rsid w:val="00FE497D"/>
    <w:rsid w:val="00FE4EF2"/>
    <w:rsid w:val="00FE68F0"/>
    <w:rsid w:val="00FE7269"/>
    <w:rsid w:val="00FF045D"/>
    <w:rsid w:val="00FF0A3B"/>
    <w:rsid w:val="00FF1D8D"/>
    <w:rsid w:val="00FF24DF"/>
    <w:rsid w:val="00FF4020"/>
    <w:rsid w:val="00FF50C0"/>
    <w:rsid w:val="00FF720D"/>
    <w:rsid w:val="0D7086AD"/>
    <w:rsid w:val="131E31F7"/>
    <w:rsid w:val="3C51975B"/>
    <w:rsid w:val="570856D8"/>
    <w:rsid w:val="577A741D"/>
    <w:rsid w:val="69EBFD8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3BDBAA"/>
  <w15:chartTrackingRefBased/>
  <w15:docId w15:val="{49653334-D2F4-4C03-9350-4538625D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E1A"/>
    <w:pPr>
      <w:spacing w:after="160" w:line="259" w:lineRule="auto"/>
    </w:pPr>
    <w:rPr>
      <w:rFonts w:ascii="Helvetica" w:hAnsi="Helvetica"/>
      <w:sz w:val="22"/>
    </w:rPr>
  </w:style>
  <w:style w:type="paragraph" w:styleId="Heading1">
    <w:name w:val="heading 1"/>
    <w:basedOn w:val="Normal"/>
    <w:next w:val="Normal"/>
    <w:link w:val="Heading1Char"/>
    <w:uiPriority w:val="9"/>
    <w:qFormat/>
    <w:rsid w:val="00E3687A"/>
    <w:pPr>
      <w:keepNext/>
      <w:keepLines/>
      <w:spacing w:before="240"/>
      <w:outlineLvl w:val="0"/>
    </w:pPr>
    <w:rPr>
      <w:rFonts w:eastAsiaTheme="majorEastAsia" w:cstheme="majorBidi"/>
      <w:color w:val="002B45"/>
      <w:sz w:val="44"/>
      <w:szCs w:val="32"/>
    </w:rPr>
  </w:style>
  <w:style w:type="paragraph" w:styleId="Heading2">
    <w:name w:val="heading 2"/>
    <w:basedOn w:val="Normal"/>
    <w:next w:val="Normal"/>
    <w:link w:val="Heading2Char"/>
    <w:uiPriority w:val="9"/>
    <w:unhideWhenUsed/>
    <w:qFormat/>
    <w:rsid w:val="008025A9"/>
    <w:pPr>
      <w:keepNext/>
      <w:keepLines/>
      <w:spacing w:before="240"/>
      <w:outlineLvl w:val="1"/>
    </w:pPr>
    <w:rPr>
      <w:rFonts w:eastAsiaTheme="majorEastAsia" w:cstheme="majorBidi"/>
      <w:color w:val="003149"/>
      <w:sz w:val="36"/>
      <w:szCs w:val="26"/>
    </w:rPr>
  </w:style>
  <w:style w:type="paragraph" w:styleId="Heading3">
    <w:name w:val="heading 3"/>
    <w:basedOn w:val="Normal"/>
    <w:next w:val="Normal"/>
    <w:link w:val="Heading3Char"/>
    <w:uiPriority w:val="9"/>
    <w:unhideWhenUsed/>
    <w:qFormat/>
    <w:rsid w:val="00E3687A"/>
    <w:pPr>
      <w:keepNext/>
      <w:keepLines/>
      <w:spacing w:before="40"/>
      <w:outlineLvl w:val="2"/>
    </w:pPr>
    <w:rPr>
      <w:rFonts w:eastAsiaTheme="majorEastAsia" w:cstheme="majorBidi"/>
      <w:color w:val="002B45"/>
      <w:sz w:val="32"/>
    </w:rPr>
  </w:style>
  <w:style w:type="paragraph" w:styleId="Heading4">
    <w:name w:val="heading 4"/>
    <w:basedOn w:val="Normal"/>
    <w:next w:val="Normal"/>
    <w:link w:val="Heading4Char"/>
    <w:uiPriority w:val="9"/>
    <w:unhideWhenUsed/>
    <w:qFormat/>
    <w:rsid w:val="00EA661F"/>
    <w:pPr>
      <w:keepNext/>
      <w:keepLines/>
      <w:spacing w:before="240"/>
      <w:outlineLvl w:val="3"/>
    </w:pPr>
    <w:rPr>
      <w:rFonts w:eastAsiaTheme="majorEastAsia" w:cstheme="majorBidi"/>
      <w:i/>
      <w:iCs/>
      <w:color w:val="002B45"/>
      <w:sz w:val="28"/>
    </w:rPr>
  </w:style>
  <w:style w:type="paragraph" w:styleId="Heading5">
    <w:name w:val="heading 5"/>
    <w:aliases w:val="Graphs"/>
    <w:basedOn w:val="Normal"/>
    <w:next w:val="Normal"/>
    <w:link w:val="Heading5Char"/>
    <w:uiPriority w:val="9"/>
    <w:unhideWhenUsed/>
    <w:qFormat/>
    <w:rsid w:val="00EA661F"/>
    <w:pPr>
      <w:keepNext/>
      <w:keepLines/>
      <w:spacing w:before="160" w:after="120" w:line="240" w:lineRule="auto"/>
      <w:outlineLvl w:val="4"/>
    </w:pPr>
    <w:rPr>
      <w:rFonts w:eastAsiaTheme="majorEastAsia" w:cstheme="majorBidi"/>
      <w:i/>
      <w:color w:val="002B45"/>
      <w:sz w:val="24"/>
    </w:rPr>
  </w:style>
  <w:style w:type="paragraph" w:styleId="Heading6">
    <w:name w:val="heading 6"/>
    <w:basedOn w:val="Normal"/>
    <w:next w:val="Normal"/>
    <w:link w:val="Heading6Char"/>
    <w:uiPriority w:val="9"/>
    <w:unhideWhenUsed/>
    <w:qFormat/>
    <w:rsid w:val="00C0642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9B6"/>
    <w:pPr>
      <w:tabs>
        <w:tab w:val="center" w:pos="4513"/>
        <w:tab w:val="right" w:pos="9026"/>
      </w:tabs>
    </w:pPr>
  </w:style>
  <w:style w:type="character" w:customStyle="1" w:styleId="HeaderChar">
    <w:name w:val="Header Char"/>
    <w:basedOn w:val="DefaultParagraphFont"/>
    <w:link w:val="Header"/>
    <w:uiPriority w:val="99"/>
    <w:rsid w:val="006219B6"/>
  </w:style>
  <w:style w:type="paragraph" w:styleId="Footer">
    <w:name w:val="footer"/>
    <w:basedOn w:val="Normal"/>
    <w:link w:val="FooterChar"/>
    <w:uiPriority w:val="99"/>
    <w:unhideWhenUsed/>
    <w:rsid w:val="006219B6"/>
    <w:pPr>
      <w:tabs>
        <w:tab w:val="center" w:pos="4513"/>
        <w:tab w:val="right" w:pos="9026"/>
      </w:tabs>
    </w:pPr>
  </w:style>
  <w:style w:type="character" w:customStyle="1" w:styleId="FooterChar">
    <w:name w:val="Footer Char"/>
    <w:basedOn w:val="DefaultParagraphFont"/>
    <w:link w:val="Footer"/>
    <w:uiPriority w:val="99"/>
    <w:rsid w:val="006219B6"/>
  </w:style>
  <w:style w:type="character" w:styleId="PageNumber">
    <w:name w:val="page number"/>
    <w:basedOn w:val="DefaultParagraphFont"/>
    <w:uiPriority w:val="99"/>
    <w:semiHidden/>
    <w:unhideWhenUsed/>
    <w:rsid w:val="006219B6"/>
  </w:style>
  <w:style w:type="paragraph" w:styleId="NoSpacing">
    <w:name w:val="No Spacing"/>
    <w:link w:val="NoSpacingChar"/>
    <w:uiPriority w:val="1"/>
    <w:qFormat/>
    <w:rsid w:val="002639A5"/>
    <w:rPr>
      <w:rFonts w:eastAsiaTheme="minorEastAsia"/>
      <w:sz w:val="22"/>
      <w:szCs w:val="22"/>
      <w:lang w:val="en-US" w:eastAsia="zh-CN"/>
    </w:rPr>
  </w:style>
  <w:style w:type="character" w:customStyle="1" w:styleId="NoSpacingChar">
    <w:name w:val="No Spacing Char"/>
    <w:basedOn w:val="DefaultParagraphFont"/>
    <w:link w:val="NoSpacing"/>
    <w:uiPriority w:val="1"/>
    <w:rsid w:val="002639A5"/>
    <w:rPr>
      <w:rFonts w:eastAsiaTheme="minorEastAsia"/>
      <w:sz w:val="22"/>
      <w:szCs w:val="22"/>
      <w:lang w:val="en-US" w:eastAsia="zh-CN"/>
    </w:rPr>
  </w:style>
  <w:style w:type="character" w:customStyle="1" w:styleId="Heading1Char">
    <w:name w:val="Heading 1 Char"/>
    <w:basedOn w:val="DefaultParagraphFont"/>
    <w:link w:val="Heading1"/>
    <w:uiPriority w:val="9"/>
    <w:rsid w:val="00E3687A"/>
    <w:rPr>
      <w:rFonts w:ascii="Helvetica" w:eastAsiaTheme="majorEastAsia" w:hAnsi="Helvetica" w:cstheme="majorBidi"/>
      <w:color w:val="002B45"/>
      <w:sz w:val="44"/>
      <w:szCs w:val="32"/>
    </w:rPr>
  </w:style>
  <w:style w:type="paragraph" w:styleId="TOCHeading">
    <w:name w:val="TOC Heading"/>
    <w:basedOn w:val="Heading1"/>
    <w:next w:val="Normal"/>
    <w:uiPriority w:val="39"/>
    <w:unhideWhenUsed/>
    <w:qFormat/>
    <w:rsid w:val="00E13748"/>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805596"/>
    <w:pPr>
      <w:tabs>
        <w:tab w:val="right" w:leader="dot" w:pos="9016"/>
      </w:tabs>
      <w:spacing w:before="120" w:after="120"/>
    </w:pPr>
    <w:rPr>
      <w:rFonts w:cstheme="minorHAnsi"/>
      <w:b/>
      <w:bCs/>
      <w:sz w:val="20"/>
      <w:szCs w:val="20"/>
    </w:rPr>
  </w:style>
  <w:style w:type="paragraph" w:styleId="TOC2">
    <w:name w:val="toc 2"/>
    <w:basedOn w:val="Normal"/>
    <w:next w:val="Normal"/>
    <w:autoRedefine/>
    <w:uiPriority w:val="39"/>
    <w:unhideWhenUsed/>
    <w:rsid w:val="00EB456F"/>
    <w:pPr>
      <w:spacing w:before="60" w:after="60"/>
      <w:ind w:left="238"/>
    </w:pPr>
    <w:rPr>
      <w:rFonts w:cstheme="minorHAnsi"/>
      <w:iCs/>
      <w:sz w:val="20"/>
      <w:szCs w:val="20"/>
    </w:rPr>
  </w:style>
  <w:style w:type="paragraph" w:styleId="TOC3">
    <w:name w:val="toc 3"/>
    <w:basedOn w:val="Normal"/>
    <w:next w:val="Normal"/>
    <w:autoRedefine/>
    <w:uiPriority w:val="39"/>
    <w:unhideWhenUsed/>
    <w:rsid w:val="00E13748"/>
    <w:pPr>
      <w:ind w:left="480"/>
    </w:pPr>
    <w:rPr>
      <w:rFonts w:cstheme="minorHAnsi"/>
      <w:sz w:val="20"/>
      <w:szCs w:val="20"/>
    </w:rPr>
  </w:style>
  <w:style w:type="paragraph" w:styleId="TOC4">
    <w:name w:val="toc 4"/>
    <w:basedOn w:val="Normal"/>
    <w:next w:val="Normal"/>
    <w:autoRedefine/>
    <w:uiPriority w:val="39"/>
    <w:semiHidden/>
    <w:unhideWhenUsed/>
    <w:rsid w:val="00E13748"/>
    <w:pPr>
      <w:ind w:left="720"/>
    </w:pPr>
    <w:rPr>
      <w:rFonts w:cstheme="minorHAnsi"/>
      <w:sz w:val="20"/>
      <w:szCs w:val="20"/>
    </w:rPr>
  </w:style>
  <w:style w:type="paragraph" w:styleId="TOC5">
    <w:name w:val="toc 5"/>
    <w:basedOn w:val="Normal"/>
    <w:next w:val="Normal"/>
    <w:autoRedefine/>
    <w:uiPriority w:val="39"/>
    <w:semiHidden/>
    <w:unhideWhenUsed/>
    <w:rsid w:val="00E13748"/>
    <w:pPr>
      <w:ind w:left="960"/>
    </w:pPr>
    <w:rPr>
      <w:rFonts w:cstheme="minorHAnsi"/>
      <w:sz w:val="20"/>
      <w:szCs w:val="20"/>
    </w:rPr>
  </w:style>
  <w:style w:type="paragraph" w:styleId="TOC6">
    <w:name w:val="toc 6"/>
    <w:basedOn w:val="Normal"/>
    <w:next w:val="Normal"/>
    <w:autoRedefine/>
    <w:uiPriority w:val="39"/>
    <w:semiHidden/>
    <w:unhideWhenUsed/>
    <w:rsid w:val="00E13748"/>
    <w:pPr>
      <w:ind w:left="1200"/>
    </w:pPr>
    <w:rPr>
      <w:rFonts w:cstheme="minorHAnsi"/>
      <w:sz w:val="20"/>
      <w:szCs w:val="20"/>
    </w:rPr>
  </w:style>
  <w:style w:type="paragraph" w:styleId="TOC7">
    <w:name w:val="toc 7"/>
    <w:basedOn w:val="Normal"/>
    <w:next w:val="Normal"/>
    <w:autoRedefine/>
    <w:uiPriority w:val="39"/>
    <w:semiHidden/>
    <w:unhideWhenUsed/>
    <w:rsid w:val="00E13748"/>
    <w:pPr>
      <w:ind w:left="1440"/>
    </w:pPr>
    <w:rPr>
      <w:rFonts w:cstheme="minorHAnsi"/>
      <w:sz w:val="20"/>
      <w:szCs w:val="20"/>
    </w:rPr>
  </w:style>
  <w:style w:type="paragraph" w:styleId="TOC8">
    <w:name w:val="toc 8"/>
    <w:basedOn w:val="Normal"/>
    <w:next w:val="Normal"/>
    <w:autoRedefine/>
    <w:uiPriority w:val="39"/>
    <w:semiHidden/>
    <w:unhideWhenUsed/>
    <w:rsid w:val="00E13748"/>
    <w:pPr>
      <w:ind w:left="1680"/>
    </w:pPr>
    <w:rPr>
      <w:rFonts w:cstheme="minorHAnsi"/>
      <w:sz w:val="20"/>
      <w:szCs w:val="20"/>
    </w:rPr>
  </w:style>
  <w:style w:type="paragraph" w:styleId="TOC9">
    <w:name w:val="toc 9"/>
    <w:basedOn w:val="Normal"/>
    <w:next w:val="Normal"/>
    <w:autoRedefine/>
    <w:uiPriority w:val="39"/>
    <w:semiHidden/>
    <w:unhideWhenUsed/>
    <w:rsid w:val="00E13748"/>
    <w:pPr>
      <w:ind w:left="1920"/>
    </w:pPr>
    <w:rPr>
      <w:rFonts w:cstheme="minorHAnsi"/>
      <w:sz w:val="20"/>
      <w:szCs w:val="20"/>
    </w:rPr>
  </w:style>
  <w:style w:type="character" w:styleId="Hyperlink">
    <w:name w:val="Hyperlink"/>
    <w:basedOn w:val="DefaultParagraphFont"/>
    <w:uiPriority w:val="99"/>
    <w:unhideWhenUsed/>
    <w:rsid w:val="00E13748"/>
    <w:rPr>
      <w:color w:val="0563C1" w:themeColor="hyperlink"/>
      <w:u w:val="single"/>
    </w:rPr>
  </w:style>
  <w:style w:type="character" w:customStyle="1" w:styleId="Heading2Char">
    <w:name w:val="Heading 2 Char"/>
    <w:basedOn w:val="DefaultParagraphFont"/>
    <w:link w:val="Heading2"/>
    <w:uiPriority w:val="9"/>
    <w:rsid w:val="008025A9"/>
    <w:rPr>
      <w:rFonts w:ascii="Helvetica" w:eastAsiaTheme="majorEastAsia" w:hAnsi="Helvetica" w:cstheme="majorBidi"/>
      <w:color w:val="003149"/>
      <w:sz w:val="36"/>
      <w:szCs w:val="26"/>
    </w:rPr>
  </w:style>
  <w:style w:type="character" w:customStyle="1" w:styleId="Heading3Char">
    <w:name w:val="Heading 3 Char"/>
    <w:basedOn w:val="DefaultParagraphFont"/>
    <w:link w:val="Heading3"/>
    <w:uiPriority w:val="9"/>
    <w:rsid w:val="00E3687A"/>
    <w:rPr>
      <w:rFonts w:ascii="Helvetica" w:eastAsiaTheme="majorEastAsia" w:hAnsi="Helvetica" w:cstheme="majorBidi"/>
      <w:color w:val="002B45"/>
      <w:sz w:val="32"/>
    </w:rPr>
  </w:style>
  <w:style w:type="paragraph" w:styleId="ListParagraph">
    <w:name w:val="List Paragraph"/>
    <w:basedOn w:val="Normal"/>
    <w:uiPriority w:val="34"/>
    <w:qFormat/>
    <w:rsid w:val="00037275"/>
    <w:pPr>
      <w:spacing w:before="20" w:after="20"/>
      <w:ind w:left="720"/>
      <w:contextualSpacing/>
    </w:pPr>
  </w:style>
  <w:style w:type="paragraph" w:styleId="CommentText">
    <w:name w:val="annotation text"/>
    <w:basedOn w:val="Normal"/>
    <w:link w:val="CommentTextChar"/>
    <w:uiPriority w:val="99"/>
    <w:unhideWhenUsed/>
    <w:rsid w:val="005D33A1"/>
    <w:rPr>
      <w:sz w:val="20"/>
      <w:szCs w:val="20"/>
    </w:rPr>
  </w:style>
  <w:style w:type="character" w:customStyle="1" w:styleId="CommentTextChar">
    <w:name w:val="Comment Text Char"/>
    <w:basedOn w:val="DefaultParagraphFont"/>
    <w:link w:val="CommentText"/>
    <w:uiPriority w:val="99"/>
    <w:rsid w:val="005D33A1"/>
    <w:rPr>
      <w:rFonts w:ascii="Helvetica" w:hAnsi="Helvetica"/>
      <w:sz w:val="20"/>
      <w:szCs w:val="20"/>
    </w:rPr>
  </w:style>
  <w:style w:type="character" w:styleId="CommentReference">
    <w:name w:val="annotation reference"/>
    <w:basedOn w:val="DefaultParagraphFont"/>
    <w:uiPriority w:val="99"/>
    <w:semiHidden/>
    <w:unhideWhenUsed/>
    <w:rsid w:val="005D33A1"/>
    <w:rPr>
      <w:sz w:val="16"/>
      <w:szCs w:val="16"/>
    </w:rPr>
  </w:style>
  <w:style w:type="table" w:styleId="TableGrid">
    <w:name w:val="Table Grid"/>
    <w:basedOn w:val="TableNormal"/>
    <w:uiPriority w:val="39"/>
    <w:rsid w:val="005E2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334A5"/>
    <w:rPr>
      <w:b/>
      <w:bCs/>
    </w:rPr>
  </w:style>
  <w:style w:type="character" w:customStyle="1" w:styleId="CommentSubjectChar">
    <w:name w:val="Comment Subject Char"/>
    <w:basedOn w:val="CommentTextChar"/>
    <w:link w:val="CommentSubject"/>
    <w:uiPriority w:val="99"/>
    <w:semiHidden/>
    <w:rsid w:val="009334A5"/>
    <w:rPr>
      <w:rFonts w:ascii="Helvetica" w:hAnsi="Helvetica"/>
      <w:b/>
      <w:bCs/>
      <w:sz w:val="20"/>
      <w:szCs w:val="20"/>
    </w:rPr>
  </w:style>
  <w:style w:type="character" w:customStyle="1" w:styleId="Heading4Char">
    <w:name w:val="Heading 4 Char"/>
    <w:basedOn w:val="DefaultParagraphFont"/>
    <w:link w:val="Heading4"/>
    <w:uiPriority w:val="9"/>
    <w:rsid w:val="00EA661F"/>
    <w:rPr>
      <w:rFonts w:ascii="Helvetica" w:eastAsiaTheme="majorEastAsia" w:hAnsi="Helvetica" w:cstheme="majorBidi"/>
      <w:i/>
      <w:iCs/>
      <w:color w:val="002B45"/>
      <w:sz w:val="28"/>
    </w:rPr>
  </w:style>
  <w:style w:type="table" w:customStyle="1" w:styleId="TableGrid1">
    <w:name w:val="Table Grid1"/>
    <w:basedOn w:val="TableNormal"/>
    <w:next w:val="TableGrid"/>
    <w:uiPriority w:val="39"/>
    <w:rsid w:val="0012271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B736D"/>
    <w:pPr>
      <w:spacing w:after="40"/>
    </w:pPr>
    <w:rPr>
      <w:sz w:val="18"/>
      <w:szCs w:val="20"/>
    </w:rPr>
  </w:style>
  <w:style w:type="character" w:customStyle="1" w:styleId="FootnoteTextChar">
    <w:name w:val="Footnote Text Char"/>
    <w:basedOn w:val="DefaultParagraphFont"/>
    <w:link w:val="FootnoteText"/>
    <w:uiPriority w:val="99"/>
    <w:rsid w:val="007B736D"/>
    <w:rPr>
      <w:rFonts w:ascii="Helvetica" w:hAnsi="Helvetica"/>
      <w:sz w:val="18"/>
      <w:szCs w:val="20"/>
    </w:rPr>
  </w:style>
  <w:style w:type="character" w:styleId="FootnoteReference">
    <w:name w:val="footnote reference"/>
    <w:aliases w:val="Footnotes refss"/>
    <w:basedOn w:val="DefaultParagraphFont"/>
    <w:uiPriority w:val="99"/>
    <w:unhideWhenUsed/>
    <w:rsid w:val="00D72A08"/>
    <w:rPr>
      <w:vertAlign w:val="superscript"/>
    </w:rPr>
  </w:style>
  <w:style w:type="paragraph" w:styleId="EndnoteText">
    <w:name w:val="endnote text"/>
    <w:basedOn w:val="Normal"/>
    <w:link w:val="EndnoteTextChar"/>
    <w:uiPriority w:val="99"/>
    <w:semiHidden/>
    <w:unhideWhenUsed/>
    <w:rsid w:val="007C6727"/>
    <w:rPr>
      <w:sz w:val="20"/>
      <w:szCs w:val="20"/>
    </w:rPr>
  </w:style>
  <w:style w:type="character" w:customStyle="1" w:styleId="EndnoteTextChar">
    <w:name w:val="Endnote Text Char"/>
    <w:basedOn w:val="DefaultParagraphFont"/>
    <w:link w:val="EndnoteText"/>
    <w:uiPriority w:val="99"/>
    <w:semiHidden/>
    <w:rsid w:val="007C6727"/>
    <w:rPr>
      <w:rFonts w:ascii="Helvetica" w:hAnsi="Helvetica"/>
      <w:sz w:val="20"/>
      <w:szCs w:val="20"/>
    </w:rPr>
  </w:style>
  <w:style w:type="character" w:styleId="EndnoteReference">
    <w:name w:val="endnote reference"/>
    <w:basedOn w:val="DefaultParagraphFont"/>
    <w:uiPriority w:val="99"/>
    <w:semiHidden/>
    <w:unhideWhenUsed/>
    <w:rsid w:val="007C6727"/>
    <w:rPr>
      <w:vertAlign w:val="superscript"/>
    </w:rPr>
  </w:style>
  <w:style w:type="character" w:customStyle="1" w:styleId="UnresolvedMention1">
    <w:name w:val="Unresolved Mention1"/>
    <w:basedOn w:val="DefaultParagraphFont"/>
    <w:uiPriority w:val="99"/>
    <w:semiHidden/>
    <w:unhideWhenUsed/>
    <w:rsid w:val="00CC3131"/>
    <w:rPr>
      <w:color w:val="605E5C"/>
      <w:shd w:val="clear" w:color="auto" w:fill="E1DFDD"/>
    </w:rPr>
  </w:style>
  <w:style w:type="paragraph" w:styleId="Revision">
    <w:name w:val="Revision"/>
    <w:hidden/>
    <w:uiPriority w:val="99"/>
    <w:semiHidden/>
    <w:rsid w:val="00DD5F23"/>
    <w:rPr>
      <w:rFonts w:ascii="Helvetica" w:hAnsi="Helvetica"/>
    </w:rPr>
  </w:style>
  <w:style w:type="character" w:customStyle="1" w:styleId="cf01">
    <w:name w:val="cf01"/>
    <w:basedOn w:val="DefaultParagraphFont"/>
    <w:rsid w:val="001B6020"/>
    <w:rPr>
      <w:rFonts w:ascii="Segoe UI" w:hAnsi="Segoe UI" w:cs="Segoe UI" w:hint="default"/>
      <w:sz w:val="18"/>
      <w:szCs w:val="18"/>
    </w:rPr>
  </w:style>
  <w:style w:type="character" w:styleId="FollowedHyperlink">
    <w:name w:val="FollowedHyperlink"/>
    <w:basedOn w:val="DefaultParagraphFont"/>
    <w:uiPriority w:val="99"/>
    <w:semiHidden/>
    <w:unhideWhenUsed/>
    <w:rsid w:val="00456394"/>
    <w:rPr>
      <w:color w:val="954F72" w:themeColor="followedHyperlink"/>
      <w:u w:val="single"/>
    </w:rPr>
  </w:style>
  <w:style w:type="paragraph" w:styleId="Caption">
    <w:name w:val="caption"/>
    <w:basedOn w:val="Heading5"/>
    <w:next w:val="Normal"/>
    <w:uiPriority w:val="35"/>
    <w:unhideWhenUsed/>
    <w:qFormat/>
    <w:rsid w:val="0015389E"/>
    <w:rPr>
      <w:sz w:val="22"/>
    </w:rPr>
  </w:style>
  <w:style w:type="character" w:customStyle="1" w:styleId="Heading5Char">
    <w:name w:val="Heading 5 Char"/>
    <w:aliases w:val="Graphs Char"/>
    <w:basedOn w:val="DefaultParagraphFont"/>
    <w:link w:val="Heading5"/>
    <w:uiPriority w:val="9"/>
    <w:rsid w:val="00EA661F"/>
    <w:rPr>
      <w:rFonts w:ascii="Helvetica" w:eastAsiaTheme="majorEastAsia" w:hAnsi="Helvetica" w:cstheme="majorBidi"/>
      <w:i/>
      <w:color w:val="002B45"/>
    </w:rPr>
  </w:style>
  <w:style w:type="paragraph" w:styleId="NormalWeb">
    <w:name w:val="Normal (Web)"/>
    <w:basedOn w:val="Normal"/>
    <w:uiPriority w:val="99"/>
    <w:semiHidden/>
    <w:unhideWhenUsed/>
    <w:rsid w:val="003204F7"/>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204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04F7"/>
    <w:rPr>
      <w:rFonts w:ascii="Times New Roman" w:hAnsi="Times New Roman" w:cs="Times New Roman"/>
      <w:sz w:val="18"/>
      <w:szCs w:val="18"/>
    </w:rPr>
  </w:style>
  <w:style w:type="table" w:styleId="PlainTable2">
    <w:name w:val="Plain Table 2"/>
    <w:basedOn w:val="TableNormal"/>
    <w:uiPriority w:val="42"/>
    <w:rsid w:val="00C46E2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6Char">
    <w:name w:val="Heading 6 Char"/>
    <w:basedOn w:val="DefaultParagraphFont"/>
    <w:link w:val="Heading6"/>
    <w:uiPriority w:val="9"/>
    <w:rsid w:val="00C06422"/>
    <w:rPr>
      <w:rFonts w:asciiTheme="majorHAnsi" w:eastAsiaTheme="majorEastAsia" w:hAnsiTheme="majorHAnsi" w:cstheme="majorBidi"/>
      <w:color w:val="1F3763" w:themeColor="accent1" w:themeShade="7F"/>
      <w:sz w:val="22"/>
    </w:rPr>
  </w:style>
  <w:style w:type="paragraph" w:styleId="TableofFigures">
    <w:name w:val="table of figures"/>
    <w:basedOn w:val="Normal"/>
    <w:next w:val="Normal"/>
    <w:uiPriority w:val="99"/>
    <w:unhideWhenUsed/>
    <w:rsid w:val="00D0156F"/>
    <w:pPr>
      <w:spacing w:after="0"/>
    </w:pPr>
    <w:rPr>
      <w:sz w:val="20"/>
    </w:rPr>
  </w:style>
  <w:style w:type="character" w:customStyle="1" w:styleId="UnresolvedMention2">
    <w:name w:val="Unresolved Mention2"/>
    <w:basedOn w:val="DefaultParagraphFont"/>
    <w:uiPriority w:val="99"/>
    <w:semiHidden/>
    <w:unhideWhenUsed/>
    <w:rsid w:val="006D0C1C"/>
    <w:rPr>
      <w:color w:val="605E5C"/>
      <w:shd w:val="clear" w:color="auto" w:fill="E1DFDD"/>
    </w:rPr>
  </w:style>
  <w:style w:type="paragraph" w:styleId="Title">
    <w:name w:val="Title"/>
    <w:basedOn w:val="Normal"/>
    <w:next w:val="Normal"/>
    <w:link w:val="TitleChar"/>
    <w:uiPriority w:val="10"/>
    <w:qFormat/>
    <w:rsid w:val="00DC55F0"/>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55F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9920">
      <w:bodyDiv w:val="1"/>
      <w:marLeft w:val="0"/>
      <w:marRight w:val="0"/>
      <w:marTop w:val="0"/>
      <w:marBottom w:val="0"/>
      <w:divBdr>
        <w:top w:val="none" w:sz="0" w:space="0" w:color="auto"/>
        <w:left w:val="none" w:sz="0" w:space="0" w:color="auto"/>
        <w:bottom w:val="none" w:sz="0" w:space="0" w:color="auto"/>
        <w:right w:val="none" w:sz="0" w:space="0" w:color="auto"/>
      </w:divBdr>
    </w:div>
    <w:div w:id="204172992">
      <w:bodyDiv w:val="1"/>
      <w:marLeft w:val="0"/>
      <w:marRight w:val="0"/>
      <w:marTop w:val="0"/>
      <w:marBottom w:val="0"/>
      <w:divBdr>
        <w:top w:val="none" w:sz="0" w:space="0" w:color="auto"/>
        <w:left w:val="none" w:sz="0" w:space="0" w:color="auto"/>
        <w:bottom w:val="none" w:sz="0" w:space="0" w:color="auto"/>
        <w:right w:val="none" w:sz="0" w:space="0" w:color="auto"/>
      </w:divBdr>
    </w:div>
    <w:div w:id="370769901">
      <w:bodyDiv w:val="1"/>
      <w:marLeft w:val="0"/>
      <w:marRight w:val="0"/>
      <w:marTop w:val="0"/>
      <w:marBottom w:val="0"/>
      <w:divBdr>
        <w:top w:val="none" w:sz="0" w:space="0" w:color="auto"/>
        <w:left w:val="none" w:sz="0" w:space="0" w:color="auto"/>
        <w:bottom w:val="none" w:sz="0" w:space="0" w:color="auto"/>
        <w:right w:val="none" w:sz="0" w:space="0" w:color="auto"/>
      </w:divBdr>
    </w:div>
    <w:div w:id="375936511">
      <w:bodyDiv w:val="1"/>
      <w:marLeft w:val="0"/>
      <w:marRight w:val="0"/>
      <w:marTop w:val="0"/>
      <w:marBottom w:val="0"/>
      <w:divBdr>
        <w:top w:val="none" w:sz="0" w:space="0" w:color="auto"/>
        <w:left w:val="none" w:sz="0" w:space="0" w:color="auto"/>
        <w:bottom w:val="none" w:sz="0" w:space="0" w:color="auto"/>
        <w:right w:val="none" w:sz="0" w:space="0" w:color="auto"/>
      </w:divBdr>
    </w:div>
    <w:div w:id="429280478">
      <w:bodyDiv w:val="1"/>
      <w:marLeft w:val="0"/>
      <w:marRight w:val="0"/>
      <w:marTop w:val="0"/>
      <w:marBottom w:val="0"/>
      <w:divBdr>
        <w:top w:val="none" w:sz="0" w:space="0" w:color="auto"/>
        <w:left w:val="none" w:sz="0" w:space="0" w:color="auto"/>
        <w:bottom w:val="none" w:sz="0" w:space="0" w:color="auto"/>
        <w:right w:val="none" w:sz="0" w:space="0" w:color="auto"/>
      </w:divBdr>
    </w:div>
    <w:div w:id="531265314">
      <w:bodyDiv w:val="1"/>
      <w:marLeft w:val="0"/>
      <w:marRight w:val="0"/>
      <w:marTop w:val="0"/>
      <w:marBottom w:val="0"/>
      <w:divBdr>
        <w:top w:val="none" w:sz="0" w:space="0" w:color="auto"/>
        <w:left w:val="none" w:sz="0" w:space="0" w:color="auto"/>
        <w:bottom w:val="none" w:sz="0" w:space="0" w:color="auto"/>
        <w:right w:val="none" w:sz="0" w:space="0" w:color="auto"/>
      </w:divBdr>
    </w:div>
    <w:div w:id="1057317086">
      <w:bodyDiv w:val="1"/>
      <w:marLeft w:val="0"/>
      <w:marRight w:val="0"/>
      <w:marTop w:val="0"/>
      <w:marBottom w:val="0"/>
      <w:divBdr>
        <w:top w:val="none" w:sz="0" w:space="0" w:color="auto"/>
        <w:left w:val="none" w:sz="0" w:space="0" w:color="auto"/>
        <w:bottom w:val="none" w:sz="0" w:space="0" w:color="auto"/>
        <w:right w:val="none" w:sz="0" w:space="0" w:color="auto"/>
      </w:divBdr>
    </w:div>
    <w:div w:id="1186021408">
      <w:bodyDiv w:val="1"/>
      <w:marLeft w:val="0"/>
      <w:marRight w:val="0"/>
      <w:marTop w:val="0"/>
      <w:marBottom w:val="0"/>
      <w:divBdr>
        <w:top w:val="none" w:sz="0" w:space="0" w:color="auto"/>
        <w:left w:val="none" w:sz="0" w:space="0" w:color="auto"/>
        <w:bottom w:val="none" w:sz="0" w:space="0" w:color="auto"/>
        <w:right w:val="none" w:sz="0" w:space="0" w:color="auto"/>
      </w:divBdr>
    </w:div>
    <w:div w:id="1230847338">
      <w:bodyDiv w:val="1"/>
      <w:marLeft w:val="0"/>
      <w:marRight w:val="0"/>
      <w:marTop w:val="0"/>
      <w:marBottom w:val="0"/>
      <w:divBdr>
        <w:top w:val="none" w:sz="0" w:space="0" w:color="auto"/>
        <w:left w:val="none" w:sz="0" w:space="0" w:color="auto"/>
        <w:bottom w:val="none" w:sz="0" w:space="0" w:color="auto"/>
        <w:right w:val="none" w:sz="0" w:space="0" w:color="auto"/>
      </w:divBdr>
    </w:div>
    <w:div w:id="1455782215">
      <w:bodyDiv w:val="1"/>
      <w:marLeft w:val="0"/>
      <w:marRight w:val="0"/>
      <w:marTop w:val="0"/>
      <w:marBottom w:val="0"/>
      <w:divBdr>
        <w:top w:val="none" w:sz="0" w:space="0" w:color="auto"/>
        <w:left w:val="none" w:sz="0" w:space="0" w:color="auto"/>
        <w:bottom w:val="none" w:sz="0" w:space="0" w:color="auto"/>
        <w:right w:val="none" w:sz="0" w:space="0" w:color="auto"/>
      </w:divBdr>
    </w:div>
    <w:div w:id="1586496776">
      <w:bodyDiv w:val="1"/>
      <w:marLeft w:val="0"/>
      <w:marRight w:val="0"/>
      <w:marTop w:val="0"/>
      <w:marBottom w:val="0"/>
      <w:divBdr>
        <w:top w:val="none" w:sz="0" w:space="0" w:color="auto"/>
        <w:left w:val="none" w:sz="0" w:space="0" w:color="auto"/>
        <w:bottom w:val="none" w:sz="0" w:space="0" w:color="auto"/>
        <w:right w:val="none" w:sz="0" w:space="0" w:color="auto"/>
      </w:divBdr>
    </w:div>
    <w:div w:id="1991790293">
      <w:bodyDiv w:val="1"/>
      <w:marLeft w:val="0"/>
      <w:marRight w:val="0"/>
      <w:marTop w:val="0"/>
      <w:marBottom w:val="0"/>
      <w:divBdr>
        <w:top w:val="none" w:sz="0" w:space="0" w:color="auto"/>
        <w:left w:val="none" w:sz="0" w:space="0" w:color="auto"/>
        <w:bottom w:val="none" w:sz="0" w:space="0" w:color="auto"/>
        <w:right w:val="none" w:sz="0" w:space="0" w:color="auto"/>
      </w:divBdr>
    </w:div>
    <w:div w:id="212279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10.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qai.org.au/wp-content/uploads/2022/08/20220804_QAI-Report-for-DATSIP_NDIS-Appeals-AAT_Final-for-Publication.pdf" TargetMode="External"/><Relationship Id="rId2" Type="http://schemas.openxmlformats.org/officeDocument/2006/relationships/hyperlink" Target="https://dex.dss.gov.au/sites/default/files/documents/2023-02/1851-program-specific-guidance.pdf" TargetMode="External"/><Relationship Id="rId1" Type="http://schemas.openxmlformats.org/officeDocument/2006/relationships/hyperlink" Target="https://dex.dss.gov.au/sites/default/files/documents/2023-02/1851-program-specific-guidance.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analtd.sharepoint.com/sites/DANA/Projects/DRC%20Intake%20project/Survey%20data/Working%20data%20for%20new%20executive%20summary%20Jan%202023.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danaltd.sharepoint.com/sites/DANA/Projects/DRC%20Intake%20project/Survey%20data/Working%20data%20for%20new%20executive%20summary%20Jan%202023.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https://danaltd.sharepoint.com/sites/DANA/Projects/DRC%20Intake%20project/Survey%20data/Working%20data%20for%20new%20executive%20summary%20Jan%20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analtd.sharepoint.com/sites/DANA/Projects/DRC%20Intake%20project/Survey%20data/Working%20data%20for%20new%20executive%20summary%20Jan%20202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analtd.sharepoint.com/sites/DANA/Projects/DRC%20Intake%20project/Survey%20data/Working%20data%20for%20new%20executive%20summary%20Jan%2020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analtd.sharepoint.com/sites/DANA/Projects/DRC%20Intake%20project/Survey%20data/Working%20data%20for%20new%20executive%20summary%20Jan%20202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analtd.sharepoint.com/sites/DANA/Projects/DRC%20Intake%20project/Survey%20data/Working%20data%20for%20new%20executive%20summary%20Jan%20202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danaltd.sharepoint.com/sites/DANA/Projects/DRC%20Intake%20project/Survey%20data/Working%20data%20for%20new%20executive%20summary%20Jan%20202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danaltd.sharepoint.com/sites/DANA/Projects/DRC%20Intake%20project/Survey%20data/Working%20data%20for%20new%20executive%20summary%20Jan%20202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danaltd.sharepoint.com/sites/DANA/Projects/DRC%20Intake%20project/Survey%20data/Intake%20Survey%20entire%20data%20set_cleaning%2015062022%20Sar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200" b="0" i="0" u="none" strike="noStrike" kern="1200" spc="0" baseline="0">
                <a:solidFill>
                  <a:sysClr val="windowText" lastClr="000000"/>
                </a:solidFill>
                <a:latin typeface="Helvetica" panose="020B0604020202020204" pitchFamily="34" charset="0"/>
                <a:cs typeface="Helvetica" panose="020B0604020202020204" pitchFamily="34" charset="0"/>
              </a:rPr>
              <a:t>All advocacy requests - all jurisdictions and funding streams</a:t>
            </a:r>
          </a:p>
          <a:p>
            <a:pPr>
              <a:defRPr/>
            </a:pPr>
            <a:r>
              <a:rPr lang="en-AU" sz="1200" b="0" i="0" u="none" strike="noStrike" kern="1200" spc="0" baseline="0">
                <a:solidFill>
                  <a:sysClr val="windowText" lastClr="000000"/>
                </a:solidFill>
                <a:latin typeface="Helvetica" panose="020B0604020202020204" pitchFamily="34" charset="0"/>
                <a:cs typeface="Helvetica" panose="020B0604020202020204" pitchFamily="34" charset="0"/>
              </a:rPr>
              <a:t>September 2021 - February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ndard"/>
        <c:varyColors val="0"/>
        <c:ser>
          <c:idx val="0"/>
          <c:order val="0"/>
          <c:tx>
            <c:strRef>
              <c:f>'[Working data for new executive summary Jan 2023.xlsx]CW working data'!$B$23</c:f>
              <c:strCache>
                <c:ptCount val="1"/>
                <c:pt idx="0">
                  <c:v>Total requests for advocacy</c:v>
                </c:pt>
              </c:strCache>
            </c:strRef>
          </c:tx>
          <c:spPr>
            <a:solidFill>
              <a:srgbClr val="002B45"/>
            </a:solidFill>
            <a:ln>
              <a:noFill/>
            </a:ln>
            <a:effectLst/>
          </c:spPr>
          <c:dLbls>
            <c:dLbl>
              <c:idx val="0"/>
              <c:layout>
                <c:manualLayout>
                  <c:x val="1.8449332177756274E-2"/>
                  <c:y val="-0.2496607514096303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2CB-4960-BB1F-4355193D717E}"/>
                </c:ext>
              </c:extLst>
            </c:dLbl>
            <c:dLbl>
              <c:idx val="1"/>
              <c:layout>
                <c:manualLayout>
                  <c:x val="-5.5347996533269134E-3"/>
                  <c:y val="-0.231569392611830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2CB-4960-BB1F-4355193D717E}"/>
                </c:ext>
              </c:extLst>
            </c:dLbl>
            <c:dLbl>
              <c:idx val="2"/>
              <c:layout>
                <c:manualLayout>
                  <c:x val="0"/>
                  <c:y val="-0.2641338384478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2CB-4960-BB1F-4355193D717E}"/>
                </c:ext>
              </c:extLst>
            </c:dLbl>
            <c:dLbl>
              <c:idx val="3"/>
              <c:layout>
                <c:manualLayout>
                  <c:x val="-1.8449332177756942E-3"/>
                  <c:y val="-0.242424207890510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2CB-4960-BB1F-4355193D717E}"/>
                </c:ext>
              </c:extLst>
            </c:dLbl>
            <c:dLbl>
              <c:idx val="4"/>
              <c:layout>
                <c:manualLayout>
                  <c:x val="0"/>
                  <c:y val="-0.242424207890510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2CB-4960-BB1F-4355193D717E}"/>
                </c:ext>
              </c:extLst>
            </c:dLbl>
            <c:dLbl>
              <c:idx val="5"/>
              <c:layout>
                <c:manualLayout>
                  <c:x val="-2.0294265395531891E-2"/>
                  <c:y val="-0.285843469005228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2CB-4960-BB1F-4355193D717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'[Working data for new executive summary Jan 2023.xlsx]CW working data'!$A$24:$A$29</c:f>
              <c:strCache>
                <c:ptCount val="6"/>
                <c:pt idx="0">
                  <c:v>September 2021</c:v>
                </c:pt>
                <c:pt idx="1">
                  <c:v>October 2021</c:v>
                </c:pt>
                <c:pt idx="2">
                  <c:v>November 2021</c:v>
                </c:pt>
                <c:pt idx="3">
                  <c:v>December 2021</c:v>
                </c:pt>
                <c:pt idx="4">
                  <c:v>January 2022</c:v>
                </c:pt>
                <c:pt idx="5">
                  <c:v>February 2022</c:v>
                </c:pt>
              </c:strCache>
            </c:strRef>
          </c:cat>
          <c:val>
            <c:numRef>
              <c:f>'[Working data for new executive summary Jan 2023.xlsx]CW working data'!$B$24:$B$29</c:f>
              <c:numCache>
                <c:formatCode>General</c:formatCode>
                <c:ptCount val="6"/>
                <c:pt idx="0">
                  <c:v>4932</c:v>
                </c:pt>
                <c:pt idx="1">
                  <c:v>4516</c:v>
                </c:pt>
                <c:pt idx="2">
                  <c:v>5295</c:v>
                </c:pt>
                <c:pt idx="3">
                  <c:v>4691</c:v>
                </c:pt>
                <c:pt idx="4">
                  <c:v>4880</c:v>
                </c:pt>
                <c:pt idx="5">
                  <c:v>5796</c:v>
                </c:pt>
              </c:numCache>
            </c:numRef>
          </c:val>
          <c:extLst>
            <c:ext xmlns:c16="http://schemas.microsoft.com/office/drawing/2014/chart" uri="{C3380CC4-5D6E-409C-BE32-E72D297353CC}">
              <c16:uniqueId val="{00000006-82CB-4960-BB1F-4355193D717E}"/>
            </c:ext>
          </c:extLst>
        </c:ser>
        <c:ser>
          <c:idx val="1"/>
          <c:order val="1"/>
          <c:tx>
            <c:strRef>
              <c:f>'[Working data for new executive summary Jan 2023.xlsx]CW working data'!$C$23</c:f>
              <c:strCache>
                <c:ptCount val="1"/>
                <c:pt idx="0">
                  <c:v>Total eligible requests</c:v>
                </c:pt>
              </c:strCache>
            </c:strRef>
          </c:tx>
          <c:spPr>
            <a:solidFill>
              <a:srgbClr val="42738E"/>
            </a:solidFill>
            <a:ln>
              <a:noFill/>
            </a:ln>
            <a:effectLst/>
          </c:spPr>
          <c:dLbls>
            <c:dLbl>
              <c:idx val="0"/>
              <c:layout>
                <c:manualLayout>
                  <c:x val="2.3984131831083146E-2"/>
                  <c:y val="-0.11216642454635568"/>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Helvetica" panose="020B0604020202020204" pitchFamily="34" charset="0"/>
                        <a:ea typeface="+mn-ea"/>
                        <a:cs typeface="Helvetica" panose="020B0604020202020204" pitchFamily="34" charset="0"/>
                      </a:defRPr>
                    </a:pPr>
                    <a:fld id="{A635123D-D073-4C02-9F6A-D641F7CEDED8}" type="VALUE">
                      <a:rPr lang="en-US" b="1">
                        <a:solidFill>
                          <a:schemeClr val="bg1"/>
                        </a:solidFill>
                        <a:latin typeface="Helvetica" panose="020B0604020202020204" pitchFamily="34" charset="0"/>
                        <a:cs typeface="Helvetica" panose="020B0604020202020204" pitchFamily="34" charset="0"/>
                      </a:rPr>
                      <a:pPr>
                        <a:defRPr b="1">
                          <a:solidFill>
                            <a:schemeClr val="bg1"/>
                          </a:solidFill>
                          <a:latin typeface="Helvetica" panose="020B0604020202020204" pitchFamily="34" charset="0"/>
                          <a:cs typeface="Helvetica" panose="020B0604020202020204" pitchFamily="34" charset="0"/>
                        </a:defRPr>
                      </a:pPr>
                      <a:t>[VALUE]</a:t>
                    </a:fld>
                    <a:endParaRPr lang="en-AU"/>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2CB-4960-BB1F-4355193D717E}"/>
                </c:ext>
              </c:extLst>
            </c:dLbl>
            <c:dLbl>
              <c:idx val="1"/>
              <c:layout>
                <c:manualLayout>
                  <c:x val="0"/>
                  <c:y val="-0.11578469630591548"/>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2CB-4960-BB1F-4355193D717E}"/>
                </c:ext>
              </c:extLst>
            </c:dLbl>
            <c:dLbl>
              <c:idx val="2"/>
              <c:layout>
                <c:manualLayout>
                  <c:x val="0"/>
                  <c:y val="-0.11216642454635568"/>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Helvetica" panose="020B0604020202020204" pitchFamily="34" charset="0"/>
                        <a:ea typeface="+mn-ea"/>
                        <a:cs typeface="Helvetica" panose="020B0604020202020204" pitchFamily="34" charset="0"/>
                      </a:defRPr>
                    </a:pPr>
                    <a:fld id="{EEC961C7-00F4-4367-BD2E-7A922ACBD565}" type="VALUE">
                      <a:rPr lang="en-US" b="1">
                        <a:solidFill>
                          <a:schemeClr val="bg1"/>
                        </a:solidFill>
                        <a:latin typeface="Helvetica" panose="020B0604020202020204" pitchFamily="34" charset="0"/>
                        <a:cs typeface="Helvetica" panose="020B0604020202020204" pitchFamily="34" charset="0"/>
                      </a:rPr>
                      <a:pPr>
                        <a:defRPr b="1">
                          <a:solidFill>
                            <a:schemeClr val="bg1"/>
                          </a:solidFill>
                          <a:latin typeface="Helvetica" panose="020B0604020202020204" pitchFamily="34" charset="0"/>
                          <a:cs typeface="Helvetica" panose="020B0604020202020204" pitchFamily="34" charset="0"/>
                        </a:defRPr>
                      </a:pPr>
                      <a:t>[VALUE]</a:t>
                    </a:fld>
                    <a:endParaRPr lang="en-AU"/>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82CB-4960-BB1F-4355193D717E}"/>
                </c:ext>
              </c:extLst>
            </c:dLbl>
            <c:dLbl>
              <c:idx val="3"/>
              <c:layout>
                <c:manualLayout>
                  <c:x val="5.5347996533268119E-3"/>
                  <c:y val="-8.6838522229436735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Helvetica" panose="020B0604020202020204" pitchFamily="34" charset="0"/>
                        <a:ea typeface="+mn-ea"/>
                        <a:cs typeface="Helvetica" panose="020B0604020202020204" pitchFamily="34" charset="0"/>
                      </a:defRPr>
                    </a:pPr>
                    <a:fld id="{2306AB7B-4A92-49FA-A517-4762176E3EAB}" type="VALUE">
                      <a:rPr lang="en-US" b="1">
                        <a:solidFill>
                          <a:schemeClr val="bg1"/>
                        </a:solidFill>
                        <a:latin typeface="Helvetica" panose="020B0604020202020204" pitchFamily="34" charset="0"/>
                        <a:cs typeface="Helvetica" panose="020B0604020202020204" pitchFamily="34" charset="0"/>
                      </a:rPr>
                      <a:pPr>
                        <a:defRPr b="1">
                          <a:solidFill>
                            <a:schemeClr val="bg1"/>
                          </a:solidFill>
                          <a:latin typeface="Helvetica" panose="020B0604020202020204" pitchFamily="34" charset="0"/>
                          <a:cs typeface="Helvetica" panose="020B0604020202020204" pitchFamily="34" charset="0"/>
                        </a:defRPr>
                      </a:pPr>
                      <a:t>[VALUE]</a:t>
                    </a:fld>
                    <a:endParaRPr lang="en-AU"/>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82CB-4960-BB1F-4355193D717E}"/>
                </c:ext>
              </c:extLst>
            </c:dLbl>
            <c:dLbl>
              <c:idx val="4"/>
              <c:layout>
                <c:manualLayout>
                  <c:x val="5.5347996533267442E-3"/>
                  <c:y val="-9.0456793988996531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Helvetica" panose="020B0604020202020204" pitchFamily="34" charset="0"/>
                        <a:ea typeface="+mn-ea"/>
                        <a:cs typeface="Helvetica" panose="020B0604020202020204" pitchFamily="34" charset="0"/>
                      </a:defRPr>
                    </a:pPr>
                    <a:fld id="{5579D382-1022-4057-9B04-54091F0CFE15}" type="VALUE">
                      <a:rPr lang="en-US" b="1">
                        <a:solidFill>
                          <a:schemeClr val="bg1"/>
                        </a:solidFill>
                        <a:latin typeface="Helvetica" panose="020B0604020202020204" pitchFamily="34" charset="0"/>
                        <a:cs typeface="Helvetica" panose="020B0604020202020204" pitchFamily="34" charset="0"/>
                      </a:rPr>
                      <a:pPr>
                        <a:defRPr b="1">
                          <a:solidFill>
                            <a:schemeClr val="bg1"/>
                          </a:solidFill>
                          <a:latin typeface="Helvetica" panose="020B0604020202020204" pitchFamily="34" charset="0"/>
                          <a:cs typeface="Helvetica" panose="020B0604020202020204" pitchFamily="34" charset="0"/>
                        </a:defRPr>
                      </a:pPr>
                      <a:t>[VALUE]</a:t>
                    </a:fld>
                    <a:endParaRPr lang="en-AU"/>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82CB-4960-BB1F-4355193D717E}"/>
                </c:ext>
              </c:extLst>
            </c:dLbl>
            <c:dLbl>
              <c:idx val="5"/>
              <c:layout>
                <c:manualLayout>
                  <c:x val="-2.2139198613307653E-2"/>
                  <c:y val="-0.1049298810272359"/>
                </c:manualLayout>
              </c:layout>
              <c:tx>
                <c:rich>
                  <a:bodyPr/>
                  <a:lstStyle/>
                  <a:p>
                    <a:fld id="{E9D317BE-02DD-4F1F-945D-C19A20F74A1C}" type="VALUE">
                      <a:rPr lang="en-US" b="1">
                        <a:solidFill>
                          <a:schemeClr val="bg1"/>
                        </a:solidFill>
                      </a:rPr>
                      <a:pPr/>
                      <a:t>[VALUE]</a:t>
                    </a:fld>
                    <a:endParaRPr lang="en-A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82CB-4960-BB1F-4355193D717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Helvetica" panose="020B0604020202020204" pitchFamily="34" charset="0"/>
                    <a:ea typeface="+mn-ea"/>
                    <a:cs typeface="Helvetica"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'[Working data for new executive summary Jan 2023.xlsx]CW working data'!$A$24:$A$29</c:f>
              <c:strCache>
                <c:ptCount val="6"/>
                <c:pt idx="0">
                  <c:v>September 2021</c:v>
                </c:pt>
                <c:pt idx="1">
                  <c:v>October 2021</c:v>
                </c:pt>
                <c:pt idx="2">
                  <c:v>November 2021</c:v>
                </c:pt>
                <c:pt idx="3">
                  <c:v>December 2021</c:v>
                </c:pt>
                <c:pt idx="4">
                  <c:v>January 2022</c:v>
                </c:pt>
                <c:pt idx="5">
                  <c:v>February 2022</c:v>
                </c:pt>
              </c:strCache>
            </c:strRef>
          </c:cat>
          <c:val>
            <c:numRef>
              <c:f>'[Working data for new executive summary Jan 2023.xlsx]CW working data'!$C$24:$C$29</c:f>
              <c:numCache>
                <c:formatCode>General</c:formatCode>
                <c:ptCount val="6"/>
                <c:pt idx="0">
                  <c:v>3028</c:v>
                </c:pt>
                <c:pt idx="1">
                  <c:v>3416</c:v>
                </c:pt>
                <c:pt idx="2">
                  <c:v>3087</c:v>
                </c:pt>
                <c:pt idx="3">
                  <c:v>2366</c:v>
                </c:pt>
                <c:pt idx="4">
                  <c:v>2676</c:v>
                </c:pt>
                <c:pt idx="5">
                  <c:v>2965</c:v>
                </c:pt>
              </c:numCache>
            </c:numRef>
          </c:val>
          <c:extLst>
            <c:ext xmlns:c16="http://schemas.microsoft.com/office/drawing/2014/chart" uri="{C3380CC4-5D6E-409C-BE32-E72D297353CC}">
              <c16:uniqueId val="{0000000D-82CB-4960-BB1F-4355193D717E}"/>
            </c:ext>
          </c:extLst>
        </c:ser>
        <c:ser>
          <c:idx val="2"/>
          <c:order val="2"/>
          <c:tx>
            <c:strRef>
              <c:f>'[Working data for new executive summary Jan 2023.xlsx]CW working data'!$D$23</c:f>
              <c:strCache>
                <c:ptCount val="1"/>
                <c:pt idx="0">
                  <c:v>Became an advocacy client</c:v>
                </c:pt>
              </c:strCache>
            </c:strRef>
          </c:tx>
          <c:spPr>
            <a:solidFill>
              <a:srgbClr val="FBB500"/>
            </a:solidFill>
            <a:ln>
              <a:noFill/>
            </a:ln>
            <a:effectLst/>
          </c:spPr>
          <c:dLbls>
            <c:dLbl>
              <c:idx val="0"/>
              <c:layout>
                <c:manualLayout>
                  <c:x val="2.0294265395531891E-2"/>
                  <c:y val="-5.42740763933978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2CB-4960-BB1F-4355193D717E}"/>
                </c:ext>
              </c:extLst>
            </c:dLbl>
            <c:dLbl>
              <c:idx val="1"/>
              <c:layout>
                <c:manualLayout>
                  <c:x val="1.8449332177755927E-3"/>
                  <c:y val="-4.70375328742782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2CB-4960-BB1F-4355193D717E}"/>
                </c:ext>
              </c:extLst>
            </c:dLbl>
            <c:dLbl>
              <c:idx val="2"/>
              <c:layout>
                <c:manualLayout>
                  <c:x val="0"/>
                  <c:y val="-3.98009893551584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2CB-4960-BB1F-4355193D717E}"/>
                </c:ext>
              </c:extLst>
            </c:dLbl>
            <c:dLbl>
              <c:idx val="3"/>
              <c:layout>
                <c:manualLayout>
                  <c:x val="1.8449332177755589E-3"/>
                  <c:y val="-2.53279023169190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2CB-4960-BB1F-4355193D717E}"/>
                </c:ext>
              </c:extLst>
            </c:dLbl>
            <c:dLbl>
              <c:idx val="4"/>
              <c:layout>
                <c:manualLayout>
                  <c:x val="0"/>
                  <c:y val="-3.25644458360387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2CB-4960-BB1F-4355193D717E}"/>
                </c:ext>
              </c:extLst>
            </c:dLbl>
            <c:dLbl>
              <c:idx val="5"/>
              <c:layout>
                <c:manualLayout>
                  <c:x val="-2.2139198613307653E-2"/>
                  <c:y val="-3.61827175955985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2CB-4960-BB1F-4355193D717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'[Working data for new executive summary Jan 2023.xlsx]CW working data'!$A$24:$A$29</c:f>
              <c:strCache>
                <c:ptCount val="6"/>
                <c:pt idx="0">
                  <c:v>September 2021</c:v>
                </c:pt>
                <c:pt idx="1">
                  <c:v>October 2021</c:v>
                </c:pt>
                <c:pt idx="2">
                  <c:v>November 2021</c:v>
                </c:pt>
                <c:pt idx="3">
                  <c:v>December 2021</c:v>
                </c:pt>
                <c:pt idx="4">
                  <c:v>January 2022</c:v>
                </c:pt>
                <c:pt idx="5">
                  <c:v>February 2022</c:v>
                </c:pt>
              </c:strCache>
            </c:strRef>
          </c:cat>
          <c:val>
            <c:numRef>
              <c:f>'[Working data for new executive summary Jan 2023.xlsx]CW working data'!$D$24:$D$29</c:f>
              <c:numCache>
                <c:formatCode>General</c:formatCode>
                <c:ptCount val="6"/>
                <c:pt idx="0">
                  <c:v>1791</c:v>
                </c:pt>
                <c:pt idx="1">
                  <c:v>1643</c:v>
                </c:pt>
                <c:pt idx="2">
                  <c:v>1637</c:v>
                </c:pt>
                <c:pt idx="3">
                  <c:v>1097</c:v>
                </c:pt>
                <c:pt idx="4">
                  <c:v>1405</c:v>
                </c:pt>
                <c:pt idx="5">
                  <c:v>1614</c:v>
                </c:pt>
              </c:numCache>
            </c:numRef>
          </c:val>
          <c:extLst>
            <c:ext xmlns:c16="http://schemas.microsoft.com/office/drawing/2014/chart" uri="{C3380CC4-5D6E-409C-BE32-E72D297353CC}">
              <c16:uniqueId val="{00000014-82CB-4960-BB1F-4355193D717E}"/>
            </c:ext>
          </c:extLst>
        </c:ser>
        <c:dLbls>
          <c:showLegendKey val="0"/>
          <c:showVal val="1"/>
          <c:showCatName val="0"/>
          <c:showSerName val="0"/>
          <c:showPercent val="0"/>
          <c:showBubbleSize val="0"/>
        </c:dLbls>
        <c:axId val="636392128"/>
        <c:axId val="636393088"/>
      </c:areaChart>
      <c:catAx>
        <c:axId val="6363921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crossAx val="636393088"/>
        <c:crosses val="autoZero"/>
        <c:auto val="1"/>
        <c:lblAlgn val="ctr"/>
        <c:lblOffset val="100"/>
        <c:noMultiLvlLbl val="0"/>
      </c:catAx>
      <c:valAx>
        <c:axId val="636393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crossAx val="63639212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latin typeface="Helvetica" panose="020B0604020202020204" pitchFamily="34" charset="0"/>
                <a:cs typeface="Helvetica" panose="020B0604020202020204" pitchFamily="34" charset="0"/>
              </a:rPr>
              <a:t>People provided with information who did not become advocacy</a:t>
            </a:r>
            <a:r>
              <a:rPr lang="en-US" sz="1200" baseline="0">
                <a:solidFill>
                  <a:sysClr val="windowText" lastClr="000000"/>
                </a:solidFill>
                <a:latin typeface="Helvetica" panose="020B0604020202020204" pitchFamily="34" charset="0"/>
                <a:cs typeface="Helvetica" panose="020B0604020202020204" pitchFamily="34" charset="0"/>
              </a:rPr>
              <a:t> clients</a:t>
            </a:r>
            <a:endParaRPr lang="en-US" sz="1200">
              <a:solidFill>
                <a:sysClr val="windowText" lastClr="000000"/>
              </a:solidFill>
              <a:latin typeface="Helvetica" panose="020B0604020202020204" pitchFamily="34" charset="0"/>
              <a:cs typeface="Helvetica"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'[Working data for new executive summary Jan 2023.xlsx]AHA'!$B$111</c:f>
              <c:strCache>
                <c:ptCount val="1"/>
                <c:pt idx="0">
                  <c:v>Provided information in lieu due to lack of capacity for disability advocacy</c:v>
                </c:pt>
              </c:strCache>
            </c:strRef>
          </c:tx>
          <c:spPr>
            <a:solidFill>
              <a:srgbClr val="002B4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BB500"/>
                </a:solidFill>
                <a:prstDash val="sysDot"/>
              </a:ln>
              <a:effectLst/>
            </c:spPr>
            <c:trendlineType val="linear"/>
            <c:dispRSqr val="0"/>
            <c:dispEq val="0"/>
          </c:trendline>
          <c:cat>
            <c:strRef>
              <c:f>'[Working data for new executive summary Jan 2023.xlsx]AHA'!$A$112:$A$117</c:f>
              <c:strCache>
                <c:ptCount val="6"/>
                <c:pt idx="0">
                  <c:v>September 2021</c:v>
                </c:pt>
                <c:pt idx="1">
                  <c:v>October 2021</c:v>
                </c:pt>
                <c:pt idx="2">
                  <c:v>November 2021</c:v>
                </c:pt>
                <c:pt idx="3">
                  <c:v>December 2021</c:v>
                </c:pt>
                <c:pt idx="4">
                  <c:v>January 2022</c:v>
                </c:pt>
                <c:pt idx="5">
                  <c:v>February 2022</c:v>
                </c:pt>
              </c:strCache>
            </c:strRef>
          </c:cat>
          <c:val>
            <c:numRef>
              <c:f>'[Working data for new executive summary Jan 2023.xlsx]AHA'!$B$112:$B$117</c:f>
              <c:numCache>
                <c:formatCode>General</c:formatCode>
                <c:ptCount val="6"/>
                <c:pt idx="0">
                  <c:v>1291</c:v>
                </c:pt>
                <c:pt idx="1">
                  <c:v>1274</c:v>
                </c:pt>
                <c:pt idx="2">
                  <c:v>1508</c:v>
                </c:pt>
                <c:pt idx="3">
                  <c:v>1292</c:v>
                </c:pt>
                <c:pt idx="4">
                  <c:v>1395</c:v>
                </c:pt>
                <c:pt idx="5">
                  <c:v>1647</c:v>
                </c:pt>
              </c:numCache>
            </c:numRef>
          </c:val>
          <c:extLst>
            <c:ext xmlns:c16="http://schemas.microsoft.com/office/drawing/2014/chart" uri="{C3380CC4-5D6E-409C-BE32-E72D297353CC}">
              <c16:uniqueId val="{00000001-CE55-4493-8635-ECF3FB87612C}"/>
            </c:ext>
          </c:extLst>
        </c:ser>
        <c:dLbls>
          <c:showLegendKey val="0"/>
          <c:showVal val="0"/>
          <c:showCatName val="0"/>
          <c:showSerName val="0"/>
          <c:showPercent val="0"/>
          <c:showBubbleSize val="0"/>
        </c:dLbls>
        <c:gapWidth val="219"/>
        <c:overlap val="-27"/>
        <c:axId val="1751664143"/>
        <c:axId val="2101672351"/>
      </c:barChart>
      <c:catAx>
        <c:axId val="17516641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crossAx val="2101672351"/>
        <c:crosses val="autoZero"/>
        <c:auto val="1"/>
        <c:lblAlgn val="ctr"/>
        <c:lblOffset val="100"/>
        <c:noMultiLvlLbl val="0"/>
      </c:catAx>
      <c:valAx>
        <c:axId val="21016723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crossAx val="17516641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sz="1200" b="0">
                <a:solidFill>
                  <a:sysClr val="windowText" lastClr="000000"/>
                </a:solidFill>
                <a:latin typeface="Helvetica" panose="020B0604020202020204" pitchFamily="34" charset="0"/>
                <a:cs typeface="Helvetica" panose="020B0604020202020204" pitchFamily="34" charset="0"/>
              </a:rPr>
              <a:t>Trends</a:t>
            </a:r>
            <a:r>
              <a:rPr lang="en-AU" sz="1200" b="0" baseline="0">
                <a:solidFill>
                  <a:sysClr val="windowText" lastClr="000000"/>
                </a:solidFill>
                <a:latin typeface="Helvetica" panose="020B0604020202020204" pitchFamily="34" charset="0"/>
                <a:cs typeface="Helvetica" panose="020B0604020202020204" pitchFamily="34" charset="0"/>
              </a:rPr>
              <a:t> in all requests for advocacy across all jurisdictions and funding streams (includes ineligible requests)</a:t>
            </a:r>
          </a:p>
          <a:p>
            <a:pPr>
              <a:defRPr/>
            </a:pPr>
            <a:r>
              <a:rPr lang="en-AU" sz="1200" b="0" baseline="0">
                <a:solidFill>
                  <a:sysClr val="windowText" lastClr="000000"/>
                </a:solidFill>
                <a:latin typeface="Helvetica" panose="020B0604020202020204" pitchFamily="34" charset="0"/>
                <a:cs typeface="Helvetica" panose="020B0604020202020204" pitchFamily="34" charset="0"/>
              </a:rPr>
              <a:t>September 2021 - February 2022</a:t>
            </a:r>
            <a:endParaRPr lang="en-AU" sz="1200" b="0">
              <a:solidFill>
                <a:sysClr val="windowText" lastClr="000000"/>
              </a:solidFill>
              <a:latin typeface="Helvetica" panose="020B0604020202020204" pitchFamily="34" charset="0"/>
              <a:cs typeface="Helvetica" panose="020B0604020202020204" pitchFamily="34" charset="0"/>
            </a:endParaRPr>
          </a:p>
        </c:rich>
      </c:tx>
      <c:layout>
        <c:manualLayout>
          <c:xMode val="edge"/>
          <c:yMode val="edge"/>
          <c:x val="0.12142697881828317"/>
          <c:y val="1.8912529550827423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'[Working data for new executive summary Jan 2023.xlsx]AHA'!$B$3</c:f>
              <c:strCache>
                <c:ptCount val="1"/>
                <c:pt idx="0">
                  <c:v>Did not become an advocacy client (includes ineligible requests)</c:v>
                </c:pt>
              </c:strCache>
            </c:strRef>
          </c:tx>
          <c:spPr>
            <a:solidFill>
              <a:srgbClr val="002B45"/>
            </a:solidFill>
            <a:ln>
              <a:noFill/>
            </a:ln>
            <a:effectLst/>
          </c:spPr>
          <c:invertIfNegative val="0"/>
          <c:dLbls>
            <c:dLbl>
              <c:idx val="1"/>
              <c:layout>
                <c:manualLayout>
                  <c:x val="0"/>
                  <c:y val="-3.152088258471236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F3C-4971-BBDA-9600F1F8B485}"/>
                </c:ext>
              </c:extLst>
            </c:dLbl>
            <c:dLbl>
              <c:idx val="4"/>
              <c:layout>
                <c:manualLayout>
                  <c:x val="0"/>
                  <c:y val="-1.084402674859934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F3C-4971-BBDA-9600F1F8B48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trendline>
            <c:spPr>
              <a:ln w="19050" cap="rnd">
                <a:solidFill>
                  <a:srgbClr val="002B45"/>
                </a:solidFill>
                <a:prstDash val="sysDash"/>
              </a:ln>
              <a:effectLst/>
            </c:spPr>
            <c:trendlineType val="linear"/>
            <c:dispRSqr val="0"/>
            <c:dispEq val="0"/>
          </c:trendline>
          <c:cat>
            <c:strRef>
              <c:f>'[Working data for new executive summary Jan 2023.xlsx]AHA'!$A$4:$A$9</c:f>
              <c:strCache>
                <c:ptCount val="6"/>
                <c:pt idx="0">
                  <c:v>September 2021</c:v>
                </c:pt>
                <c:pt idx="1">
                  <c:v>October 2021</c:v>
                </c:pt>
                <c:pt idx="2">
                  <c:v>November 2021</c:v>
                </c:pt>
                <c:pt idx="3">
                  <c:v>December 2021</c:v>
                </c:pt>
                <c:pt idx="4">
                  <c:v>January 2022</c:v>
                </c:pt>
                <c:pt idx="5">
                  <c:v>February 2022</c:v>
                </c:pt>
              </c:strCache>
            </c:strRef>
          </c:cat>
          <c:val>
            <c:numRef>
              <c:f>'[Working data for new executive summary Jan 2023.xlsx]AHA'!$B$4:$B$9</c:f>
              <c:numCache>
                <c:formatCode>General</c:formatCode>
                <c:ptCount val="6"/>
                <c:pt idx="0">
                  <c:v>3141</c:v>
                </c:pt>
                <c:pt idx="1">
                  <c:v>2873</c:v>
                </c:pt>
                <c:pt idx="2">
                  <c:v>3658</c:v>
                </c:pt>
                <c:pt idx="3">
                  <c:v>3594</c:v>
                </c:pt>
                <c:pt idx="4">
                  <c:v>3475</c:v>
                </c:pt>
                <c:pt idx="5">
                  <c:v>4182</c:v>
                </c:pt>
              </c:numCache>
            </c:numRef>
          </c:val>
          <c:extLst>
            <c:ext xmlns:c16="http://schemas.microsoft.com/office/drawing/2014/chart" uri="{C3380CC4-5D6E-409C-BE32-E72D297353CC}">
              <c16:uniqueId val="{00000002-4F3C-4971-BBDA-9600F1F8B485}"/>
            </c:ext>
          </c:extLst>
        </c:ser>
        <c:ser>
          <c:idx val="1"/>
          <c:order val="1"/>
          <c:tx>
            <c:strRef>
              <c:f>'[Working data for new executive summary Jan 2023.xlsx]AHA'!$C$3</c:f>
              <c:strCache>
                <c:ptCount val="1"/>
                <c:pt idx="0">
                  <c:v>Became advocacy clients</c:v>
                </c:pt>
              </c:strCache>
            </c:strRef>
          </c:tx>
          <c:spPr>
            <a:solidFill>
              <a:srgbClr val="FBB500"/>
            </a:solidFill>
            <a:ln>
              <a:solidFill>
                <a:srgbClr val="FBB500"/>
              </a:solidFill>
            </a:ln>
            <a:effectLst/>
          </c:spPr>
          <c:invertIfNegative val="0"/>
          <c:dLbls>
            <c:dLbl>
              <c:idx val="3"/>
              <c:layout>
                <c:manualLayout>
                  <c:x val="-8.1353989560899882E-17"/>
                  <c:y val="1.08440267485993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F3C-4971-BBDA-9600F1F8B48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trendline>
            <c:spPr>
              <a:ln w="19050" cap="rnd">
                <a:solidFill>
                  <a:srgbClr val="FBB500"/>
                </a:solidFill>
                <a:prstDash val="sysDash"/>
              </a:ln>
              <a:effectLst/>
            </c:spPr>
            <c:trendlineType val="linear"/>
            <c:dispRSqr val="0"/>
            <c:dispEq val="0"/>
          </c:trendline>
          <c:cat>
            <c:strRef>
              <c:f>'[Working data for new executive summary Jan 2023.xlsx]AHA'!$A$4:$A$9</c:f>
              <c:strCache>
                <c:ptCount val="6"/>
                <c:pt idx="0">
                  <c:v>September 2021</c:v>
                </c:pt>
                <c:pt idx="1">
                  <c:v>October 2021</c:v>
                </c:pt>
                <c:pt idx="2">
                  <c:v>November 2021</c:v>
                </c:pt>
                <c:pt idx="3">
                  <c:v>December 2021</c:v>
                </c:pt>
                <c:pt idx="4">
                  <c:v>January 2022</c:v>
                </c:pt>
                <c:pt idx="5">
                  <c:v>February 2022</c:v>
                </c:pt>
              </c:strCache>
            </c:strRef>
          </c:cat>
          <c:val>
            <c:numRef>
              <c:f>'[Working data for new executive summary Jan 2023.xlsx]AHA'!$C$4:$C$9</c:f>
              <c:numCache>
                <c:formatCode>General</c:formatCode>
                <c:ptCount val="6"/>
                <c:pt idx="0">
                  <c:v>1791</c:v>
                </c:pt>
                <c:pt idx="1">
                  <c:v>1643</c:v>
                </c:pt>
                <c:pt idx="2">
                  <c:v>1637</c:v>
                </c:pt>
                <c:pt idx="3">
                  <c:v>1097</c:v>
                </c:pt>
                <c:pt idx="4">
                  <c:v>1405</c:v>
                </c:pt>
                <c:pt idx="5">
                  <c:v>1614</c:v>
                </c:pt>
              </c:numCache>
            </c:numRef>
          </c:val>
          <c:extLst>
            <c:ext xmlns:c16="http://schemas.microsoft.com/office/drawing/2014/chart" uri="{C3380CC4-5D6E-409C-BE32-E72D297353CC}">
              <c16:uniqueId val="{00000004-4F3C-4971-BBDA-9600F1F8B485}"/>
            </c:ext>
          </c:extLst>
        </c:ser>
        <c:dLbls>
          <c:dLblPos val="outEnd"/>
          <c:showLegendKey val="0"/>
          <c:showVal val="1"/>
          <c:showCatName val="0"/>
          <c:showSerName val="0"/>
          <c:showPercent val="0"/>
          <c:showBubbleSize val="0"/>
        </c:dLbls>
        <c:gapWidth val="100"/>
        <c:overlap val="-24"/>
        <c:axId val="982748592"/>
        <c:axId val="982746928"/>
      </c:barChart>
      <c:catAx>
        <c:axId val="98274859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crossAx val="982746928"/>
        <c:crosses val="autoZero"/>
        <c:auto val="1"/>
        <c:lblAlgn val="ctr"/>
        <c:lblOffset val="100"/>
        <c:noMultiLvlLbl val="0"/>
      </c:catAx>
      <c:valAx>
        <c:axId val="98274692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crossAx val="982748592"/>
        <c:crosses val="autoZero"/>
        <c:crossBetween val="between"/>
      </c:valAx>
      <c:spPr>
        <a:noFill/>
        <a:ln>
          <a:noFill/>
        </a:ln>
        <a:effectLst/>
      </c:spPr>
    </c:plotArea>
    <c:legend>
      <c:legendPos val="b"/>
      <c:layout>
        <c:manualLayout>
          <c:xMode val="edge"/>
          <c:yMode val="edge"/>
          <c:x val="7.0172353455818029E-2"/>
          <c:y val="0.87911443693651781"/>
          <c:w val="0.89576640419947506"/>
          <c:h val="0.1002882795678908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200">
                <a:solidFill>
                  <a:sysClr val="windowText" lastClr="000000"/>
                </a:solidFill>
                <a:latin typeface="Helvetica" panose="020B0604020202020204" pitchFamily="34" charset="0"/>
                <a:cs typeface="Helvetica" panose="020B0604020202020204" pitchFamily="34" charset="0"/>
              </a:rPr>
              <a:t>All requests for advocacy across</a:t>
            </a:r>
            <a:r>
              <a:rPr lang="en-AU" sz="1200" baseline="0">
                <a:solidFill>
                  <a:sysClr val="windowText" lastClr="000000"/>
                </a:solidFill>
                <a:latin typeface="Helvetica" panose="020B0604020202020204" pitchFamily="34" charset="0"/>
                <a:cs typeface="Helvetica" panose="020B0604020202020204" pitchFamily="34" charset="0"/>
              </a:rPr>
              <a:t> all juridictions and funding streams</a:t>
            </a:r>
          </a:p>
          <a:p>
            <a:pPr>
              <a:defRPr/>
            </a:pPr>
            <a:r>
              <a:rPr lang="en-AU" sz="1200" baseline="0">
                <a:solidFill>
                  <a:sysClr val="windowText" lastClr="000000"/>
                </a:solidFill>
                <a:latin typeface="Helvetica" panose="020B0604020202020204" pitchFamily="34" charset="0"/>
                <a:cs typeface="Helvetica" panose="020B0604020202020204" pitchFamily="34" charset="0"/>
              </a:rPr>
              <a:t>September 2021 - February 2022</a:t>
            </a:r>
            <a:endParaRPr lang="en-AU" sz="1200">
              <a:solidFill>
                <a:sysClr val="windowText" lastClr="000000"/>
              </a:solidFill>
              <a:latin typeface="Helvetica" panose="020B0604020202020204" pitchFamily="34" charset="0"/>
              <a:cs typeface="Helvetica"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BB500"/>
              </a:solidFill>
              <a:ln>
                <a:noFill/>
              </a:ln>
              <a:effectLst/>
            </c:spPr>
            <c:extLst>
              <c:ext xmlns:c16="http://schemas.microsoft.com/office/drawing/2014/chart" uri="{C3380CC4-5D6E-409C-BE32-E72D297353CC}">
                <c16:uniqueId val="{00000001-C9FD-4C0C-B8FA-509F18D3D2D0}"/>
              </c:ext>
            </c:extLst>
          </c:dPt>
          <c:dPt>
            <c:idx val="1"/>
            <c:invertIfNegative val="0"/>
            <c:bubble3D val="0"/>
            <c:spPr>
              <a:solidFill>
                <a:srgbClr val="42738E"/>
              </a:solidFill>
              <a:ln>
                <a:noFill/>
              </a:ln>
              <a:effectLst/>
            </c:spPr>
            <c:extLst>
              <c:ext xmlns:c16="http://schemas.microsoft.com/office/drawing/2014/chart" uri="{C3380CC4-5D6E-409C-BE32-E72D297353CC}">
                <c16:uniqueId val="{00000003-C9FD-4C0C-B8FA-509F18D3D2D0}"/>
              </c:ext>
            </c:extLst>
          </c:dPt>
          <c:dPt>
            <c:idx val="2"/>
            <c:invertIfNegative val="0"/>
            <c:bubble3D val="0"/>
            <c:spPr>
              <a:solidFill>
                <a:srgbClr val="002B45"/>
              </a:solidFill>
              <a:ln>
                <a:noFill/>
              </a:ln>
              <a:effectLst/>
            </c:spPr>
            <c:extLst>
              <c:ext xmlns:c16="http://schemas.microsoft.com/office/drawing/2014/chart" uri="{C3380CC4-5D6E-409C-BE32-E72D297353CC}">
                <c16:uniqueId val="{00000005-C9FD-4C0C-B8FA-509F18D3D2D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'[Working data for new executive summary Jan 2023.xlsx]CW working data'!$A$33:$C$33</c:f>
              <c:strCache>
                <c:ptCount val="3"/>
                <c:pt idx="0">
                  <c:v>Became an advocacy client</c:v>
                </c:pt>
                <c:pt idx="1">
                  <c:v>Did not become an advocacy client (eligible)</c:v>
                </c:pt>
                <c:pt idx="2">
                  <c:v>Ineligible request</c:v>
                </c:pt>
              </c:strCache>
            </c:strRef>
          </c:cat>
          <c:val>
            <c:numRef>
              <c:f>'[Working data for new executive summary Jan 2023.xlsx]CW working data'!$A$34:$C$34</c:f>
              <c:numCache>
                <c:formatCode>General</c:formatCode>
                <c:ptCount val="3"/>
                <c:pt idx="0">
                  <c:v>9187</c:v>
                </c:pt>
                <c:pt idx="1">
                  <c:v>8351</c:v>
                </c:pt>
                <c:pt idx="2">
                  <c:v>12572</c:v>
                </c:pt>
              </c:numCache>
            </c:numRef>
          </c:val>
          <c:extLst>
            <c:ext xmlns:c16="http://schemas.microsoft.com/office/drawing/2014/chart" uri="{C3380CC4-5D6E-409C-BE32-E72D297353CC}">
              <c16:uniqueId val="{00000006-C9FD-4C0C-B8FA-509F18D3D2D0}"/>
            </c:ext>
          </c:extLst>
        </c:ser>
        <c:dLbls>
          <c:dLblPos val="outEnd"/>
          <c:showLegendKey val="0"/>
          <c:showVal val="1"/>
          <c:showCatName val="0"/>
          <c:showSerName val="0"/>
          <c:showPercent val="0"/>
          <c:showBubbleSize val="0"/>
        </c:dLbls>
        <c:gapWidth val="219"/>
        <c:overlap val="-27"/>
        <c:axId val="552929248"/>
        <c:axId val="552933088"/>
      </c:barChart>
      <c:catAx>
        <c:axId val="55292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crossAx val="552933088"/>
        <c:crosses val="autoZero"/>
        <c:auto val="1"/>
        <c:lblAlgn val="ctr"/>
        <c:lblOffset val="100"/>
        <c:noMultiLvlLbl val="0"/>
      </c:catAx>
      <c:valAx>
        <c:axId val="552933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crossAx val="552929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200">
                <a:solidFill>
                  <a:sysClr val="windowText" lastClr="000000"/>
                </a:solidFill>
                <a:latin typeface="Helvetica" panose="020B0604020202020204" pitchFamily="34" charset="0"/>
                <a:cs typeface="Helvetica" panose="020B0604020202020204" pitchFamily="34" charset="0"/>
              </a:rPr>
              <a:t>Unmet</a:t>
            </a:r>
            <a:r>
              <a:rPr lang="en-AU" sz="1200" baseline="0">
                <a:solidFill>
                  <a:sysClr val="windowText" lastClr="000000"/>
                </a:solidFill>
                <a:latin typeface="Helvetica" panose="020B0604020202020204" pitchFamily="34" charset="0"/>
                <a:cs typeface="Helvetica" panose="020B0604020202020204" pitchFamily="34" charset="0"/>
              </a:rPr>
              <a:t> demand and waitlist across all jurisdictions and funding streams</a:t>
            </a:r>
          </a:p>
          <a:p>
            <a:pPr>
              <a:defRPr/>
            </a:pPr>
            <a:r>
              <a:rPr lang="en-AU" sz="1200" baseline="0">
                <a:solidFill>
                  <a:sysClr val="windowText" lastClr="000000"/>
                </a:solidFill>
                <a:latin typeface="Helvetica" panose="020B0604020202020204" pitchFamily="34" charset="0"/>
                <a:cs typeface="Helvetica" panose="020B0604020202020204" pitchFamily="34" charset="0"/>
              </a:rPr>
              <a:t>September 2021 - February 2022 </a:t>
            </a:r>
            <a:endParaRPr lang="en-AU" sz="1200">
              <a:solidFill>
                <a:sysClr val="windowText" lastClr="000000"/>
              </a:solidFill>
              <a:latin typeface="Helvetica" panose="020B0604020202020204" pitchFamily="34" charset="0"/>
              <a:cs typeface="Helvetica"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FBB500"/>
            </a:solidFill>
            <a:ln>
              <a:noFill/>
            </a:ln>
            <a:effectLst/>
          </c:spPr>
          <c:invertIfNegative val="0"/>
          <c:dPt>
            <c:idx val="1"/>
            <c:invertIfNegative val="0"/>
            <c:bubble3D val="0"/>
            <c:spPr>
              <a:solidFill>
                <a:srgbClr val="42738E"/>
              </a:solidFill>
              <a:ln>
                <a:noFill/>
              </a:ln>
              <a:effectLst/>
            </c:spPr>
            <c:extLst>
              <c:ext xmlns:c16="http://schemas.microsoft.com/office/drawing/2014/chart" uri="{C3380CC4-5D6E-409C-BE32-E72D297353CC}">
                <c16:uniqueId val="{00000001-35D4-4F63-BD83-9943072DE42B}"/>
              </c:ext>
            </c:extLst>
          </c:dPt>
          <c:dPt>
            <c:idx val="2"/>
            <c:invertIfNegative val="0"/>
            <c:bubble3D val="0"/>
            <c:spPr>
              <a:solidFill>
                <a:srgbClr val="002B45"/>
              </a:solidFill>
              <a:ln>
                <a:noFill/>
              </a:ln>
              <a:effectLst/>
            </c:spPr>
            <c:extLst>
              <c:ext xmlns:c16="http://schemas.microsoft.com/office/drawing/2014/chart" uri="{C3380CC4-5D6E-409C-BE32-E72D297353CC}">
                <c16:uniqueId val="{00000003-35D4-4F63-BD83-9943072DE42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'[Working data for new executive summary Jan 2023.xlsx]CW waitlist data'!$B$23:$D$23</c:f>
              <c:strCache>
                <c:ptCount val="3"/>
                <c:pt idx="0">
                  <c:v>Became an advocacy client</c:v>
                </c:pt>
                <c:pt idx="1">
                  <c:v>Did not become an advocacy client (eligible)</c:v>
                </c:pt>
                <c:pt idx="2">
                  <c:v>On waitlist at the end of the month</c:v>
                </c:pt>
              </c:strCache>
            </c:strRef>
          </c:cat>
          <c:val>
            <c:numRef>
              <c:f>'[Working data for new executive summary Jan 2023.xlsx]CW waitlist data'!$B$24:$D$24</c:f>
              <c:numCache>
                <c:formatCode>General</c:formatCode>
                <c:ptCount val="3"/>
                <c:pt idx="0">
                  <c:v>9187</c:v>
                </c:pt>
                <c:pt idx="1">
                  <c:v>3398</c:v>
                </c:pt>
                <c:pt idx="2">
                  <c:v>4953</c:v>
                </c:pt>
              </c:numCache>
            </c:numRef>
          </c:val>
          <c:extLst>
            <c:ext xmlns:c16="http://schemas.microsoft.com/office/drawing/2014/chart" uri="{C3380CC4-5D6E-409C-BE32-E72D297353CC}">
              <c16:uniqueId val="{00000004-35D4-4F63-BD83-9943072DE42B}"/>
            </c:ext>
          </c:extLst>
        </c:ser>
        <c:dLbls>
          <c:dLblPos val="outEnd"/>
          <c:showLegendKey val="0"/>
          <c:showVal val="1"/>
          <c:showCatName val="0"/>
          <c:showSerName val="0"/>
          <c:showPercent val="0"/>
          <c:showBubbleSize val="0"/>
        </c:dLbls>
        <c:gapWidth val="219"/>
        <c:overlap val="-27"/>
        <c:axId val="849473984"/>
        <c:axId val="849467264"/>
      </c:barChart>
      <c:catAx>
        <c:axId val="84947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crossAx val="849467264"/>
        <c:crosses val="autoZero"/>
        <c:auto val="1"/>
        <c:lblAlgn val="ctr"/>
        <c:lblOffset val="100"/>
        <c:noMultiLvlLbl val="0"/>
      </c:catAx>
      <c:valAx>
        <c:axId val="849467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crossAx val="8494739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200">
                <a:solidFill>
                  <a:sysClr val="windowText" lastClr="000000"/>
                </a:solidFill>
                <a:latin typeface="Helvetica" panose="020B0604020202020204" pitchFamily="34" charset="0"/>
                <a:cs typeface="Helvetica" panose="020B0604020202020204" pitchFamily="34" charset="0"/>
              </a:rPr>
              <a:t>Eligible requests for advocacy</a:t>
            </a:r>
            <a:r>
              <a:rPr lang="en-AU" sz="1200" baseline="0">
                <a:solidFill>
                  <a:sysClr val="windowText" lastClr="000000"/>
                </a:solidFill>
                <a:latin typeface="Helvetica" panose="020B0604020202020204" pitchFamily="34" charset="0"/>
                <a:cs typeface="Helvetica" panose="020B0604020202020204" pitchFamily="34" charset="0"/>
              </a:rPr>
              <a:t> across all jurisdictions and funding streams </a:t>
            </a:r>
          </a:p>
          <a:p>
            <a:pPr>
              <a:defRPr/>
            </a:pPr>
            <a:r>
              <a:rPr lang="en-AU" sz="1200" baseline="0">
                <a:solidFill>
                  <a:sysClr val="windowText" lastClr="000000"/>
                </a:solidFill>
                <a:latin typeface="Helvetica" panose="020B0604020202020204" pitchFamily="34" charset="0"/>
                <a:cs typeface="Helvetica" panose="020B0604020202020204" pitchFamily="34" charset="0"/>
              </a:rPr>
              <a:t>September 2021 - February 2022</a:t>
            </a:r>
            <a:endParaRPr lang="en-AU" sz="1200">
              <a:solidFill>
                <a:sysClr val="windowText" lastClr="000000"/>
              </a:solidFill>
              <a:latin typeface="Helvetica" panose="020B0604020202020204" pitchFamily="34" charset="0"/>
              <a:cs typeface="Helvetica"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BB500"/>
              </a:solidFill>
              <a:ln w="19050">
                <a:solidFill>
                  <a:schemeClr val="lt1"/>
                </a:solidFill>
              </a:ln>
              <a:effectLst/>
            </c:spPr>
            <c:extLst>
              <c:ext xmlns:c16="http://schemas.microsoft.com/office/drawing/2014/chart" uri="{C3380CC4-5D6E-409C-BE32-E72D297353CC}">
                <c16:uniqueId val="{00000001-3C2A-4495-A1BB-48C87B5B20C6}"/>
              </c:ext>
            </c:extLst>
          </c:dPt>
          <c:dPt>
            <c:idx val="1"/>
            <c:bubble3D val="0"/>
            <c:spPr>
              <a:solidFill>
                <a:srgbClr val="4D738A"/>
              </a:solidFill>
              <a:ln w="19050">
                <a:solidFill>
                  <a:schemeClr val="lt1"/>
                </a:solidFill>
              </a:ln>
              <a:effectLst/>
            </c:spPr>
            <c:extLst>
              <c:ext xmlns:c16="http://schemas.microsoft.com/office/drawing/2014/chart" uri="{C3380CC4-5D6E-409C-BE32-E72D297353CC}">
                <c16:uniqueId val="{00000003-3C2A-4495-A1BB-48C87B5B20C6}"/>
              </c:ext>
            </c:extLst>
          </c:dPt>
          <c:dPt>
            <c:idx val="2"/>
            <c:bubble3D val="0"/>
            <c:spPr>
              <a:solidFill>
                <a:srgbClr val="002B45"/>
              </a:solidFill>
              <a:ln w="19050">
                <a:solidFill>
                  <a:schemeClr val="lt1"/>
                </a:solidFill>
              </a:ln>
              <a:effectLst/>
            </c:spPr>
            <c:extLst>
              <c:ext xmlns:c16="http://schemas.microsoft.com/office/drawing/2014/chart" uri="{C3380CC4-5D6E-409C-BE32-E72D297353CC}">
                <c16:uniqueId val="{00000005-3C2A-4495-A1BB-48C87B5B20C6}"/>
              </c:ext>
            </c:extLst>
          </c:dPt>
          <c:dLbls>
            <c:dLbl>
              <c:idx val="0"/>
              <c:tx>
                <c:rich>
                  <a:bodyPr/>
                  <a:lstStyle/>
                  <a:p>
                    <a:fld id="{F564B812-C152-4FA6-8968-F1B5E4CAFFFA}" type="CELLRANGE">
                      <a:rPr lang="en-US" b="1" baseline="0">
                        <a:solidFill>
                          <a:sysClr val="windowText" lastClr="000000"/>
                        </a:solidFill>
                        <a:latin typeface="Helvetica" panose="020B0604020202020204" pitchFamily="34" charset="0"/>
                        <a:cs typeface="Helvetica" panose="020B0604020202020204" pitchFamily="34" charset="0"/>
                      </a:rPr>
                      <a:pPr/>
                      <a:t>[CELLRANGE]</a:t>
                    </a:fld>
                    <a:r>
                      <a:rPr lang="en-US" b="1" baseline="0">
                        <a:solidFill>
                          <a:sysClr val="windowText" lastClr="000000"/>
                        </a:solidFill>
                        <a:latin typeface="Helvetica" panose="020B0604020202020204" pitchFamily="34" charset="0"/>
                        <a:cs typeface="Helvetica" panose="020B0604020202020204" pitchFamily="34" charset="0"/>
                      </a:rPr>
                      <a:t>, </a:t>
                    </a:r>
                    <a:fld id="{998BE53B-A69E-470C-8FA8-05255496F29B}" type="VALUE">
                      <a:rPr lang="en-US" b="1" baseline="0">
                        <a:solidFill>
                          <a:sysClr val="windowText" lastClr="000000"/>
                        </a:solidFill>
                        <a:latin typeface="Helvetica" panose="020B0604020202020204" pitchFamily="34" charset="0"/>
                        <a:cs typeface="Helvetica" panose="020B0604020202020204" pitchFamily="34" charset="0"/>
                      </a:rPr>
                      <a:pPr/>
                      <a:t>[VALUE]</a:t>
                    </a:fld>
                    <a:endParaRPr lang="en-US" b="1" baseline="0">
                      <a:solidFill>
                        <a:sysClr val="windowText" lastClr="000000"/>
                      </a:solidFill>
                      <a:latin typeface="Helvetica" panose="020B0604020202020204" pitchFamily="34" charset="0"/>
                      <a:cs typeface="Helvetica" panose="020B0604020202020204" pitchFamily="34" charset="0"/>
                    </a:endParaRP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3C2A-4495-A1BB-48C87B5B20C6}"/>
                </c:ext>
              </c:extLst>
            </c:dLbl>
            <c:dLbl>
              <c:idx val="1"/>
              <c:tx>
                <c:rich>
                  <a:bodyPr/>
                  <a:lstStyle/>
                  <a:p>
                    <a:fld id="{14D282F6-8127-44F8-BF25-A66E48DEBC47}" type="CELLRANGE">
                      <a:rPr lang="en-US"/>
                      <a:pPr/>
                      <a:t>[CELLRANGE]</a:t>
                    </a:fld>
                    <a:r>
                      <a:rPr lang="en-US" baseline="0"/>
                      <a:t>, </a:t>
                    </a:r>
                    <a:fld id="{EA340DFE-6FF1-47BB-A2A1-8A0246270541}" type="VALUE">
                      <a:rPr lang="en-US" baseline="0"/>
                      <a:pPr/>
                      <a:t>[VALUE]</a:t>
                    </a:fld>
                    <a:endParaRPr lang="en-US"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3C2A-4495-A1BB-48C87B5B20C6}"/>
                </c:ext>
              </c:extLst>
            </c:dLbl>
            <c:dLbl>
              <c:idx val="2"/>
              <c:tx>
                <c:rich>
                  <a:bodyPr/>
                  <a:lstStyle/>
                  <a:p>
                    <a:fld id="{19C6473C-FCF6-42CA-88B0-0211172526BA}" type="CELLRANGE">
                      <a:rPr lang="en-US"/>
                      <a:pPr/>
                      <a:t>[CELLRANGE]</a:t>
                    </a:fld>
                    <a:r>
                      <a:rPr lang="en-US" baseline="0"/>
                      <a:t>, </a:t>
                    </a:r>
                    <a:fld id="{9256F64B-DCC0-4EE6-81FA-0BF10CD72B04}" type="VALUE">
                      <a:rPr lang="en-US" baseline="0"/>
                      <a:pPr/>
                      <a:t>[VALUE]</a:t>
                    </a:fld>
                    <a:endParaRPr lang="en-US"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3C2A-4495-A1BB-48C87B5B20C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'[Working data for new executive summary Jan 2023.xlsx]Oct 2023 pie'!$A$2:$C$2</c:f>
              <c:strCache>
                <c:ptCount val="3"/>
                <c:pt idx="0">
                  <c:v>Became an advocacy client</c:v>
                </c:pt>
                <c:pt idx="1">
                  <c:v>Did not become an advocacy client (eligible)</c:v>
                </c:pt>
                <c:pt idx="2">
                  <c:v>On waitlist at the end of the month</c:v>
                </c:pt>
              </c:strCache>
            </c:strRef>
          </c:cat>
          <c:val>
            <c:numRef>
              <c:f>'[Working data for new executive summary Jan 2023.xlsx]Oct 2023 pie'!$A$3:$C$3</c:f>
              <c:numCache>
                <c:formatCode>General</c:formatCode>
                <c:ptCount val="3"/>
                <c:pt idx="0">
                  <c:v>9187</c:v>
                </c:pt>
                <c:pt idx="1">
                  <c:v>3398</c:v>
                </c:pt>
                <c:pt idx="2">
                  <c:v>4953</c:v>
                </c:pt>
              </c:numCache>
            </c:numRef>
          </c:val>
          <c:extLst>
            <c:ext xmlns:c15="http://schemas.microsoft.com/office/drawing/2012/chart" uri="{02D57815-91ED-43cb-92C2-25804820EDAC}">
              <c15:datalabelsRange>
                <c15:f>'[Working data for new executive summary Jan 2023.xlsx]Oct 2023 pie'!$A$4:$C$4</c15:f>
                <c15:dlblRangeCache>
                  <c:ptCount val="3"/>
                  <c:pt idx="0">
                    <c:v>52%</c:v>
                  </c:pt>
                  <c:pt idx="1">
                    <c:v>20%</c:v>
                  </c:pt>
                  <c:pt idx="2">
                    <c:v>28%</c:v>
                  </c:pt>
                </c15:dlblRangeCache>
              </c15:datalabelsRange>
            </c:ext>
            <c:ext xmlns:c16="http://schemas.microsoft.com/office/drawing/2014/chart" uri="{C3380CC4-5D6E-409C-BE32-E72D297353CC}">
              <c16:uniqueId val="{00000006-3C2A-4495-A1BB-48C87B5B20C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200" b="0" i="0" u="none" strike="noStrike" kern="1200" spc="0" baseline="0">
                <a:solidFill>
                  <a:sysClr val="windowText" lastClr="000000"/>
                </a:solidFill>
                <a:latin typeface="Helvetica" panose="020B0604020202020204" pitchFamily="34" charset="0"/>
                <a:cs typeface="Helvetica" panose="020B0604020202020204" pitchFamily="34" charset="0"/>
              </a:rPr>
              <a:t>Unmet demand and waitlist by funding streams</a:t>
            </a:r>
          </a:p>
          <a:p>
            <a:pPr>
              <a:defRPr/>
            </a:pPr>
            <a:r>
              <a:rPr lang="en-AU" sz="1200" b="0" i="0" u="none" strike="noStrike" kern="1200" spc="0" baseline="0">
                <a:solidFill>
                  <a:sysClr val="windowText" lastClr="000000"/>
                </a:solidFill>
                <a:latin typeface="Helvetica" panose="020B0604020202020204" pitchFamily="34" charset="0"/>
                <a:cs typeface="Helvetica" panose="020B0604020202020204" pitchFamily="34" charset="0"/>
              </a:rPr>
              <a:t>September 2021 - February 2022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'[Working data for new executive summary Jan 2023.xlsx]CW waitlist data'!$B$34</c:f>
              <c:strCache>
                <c:ptCount val="1"/>
                <c:pt idx="0">
                  <c:v>Became an advocacy client</c:v>
                </c:pt>
              </c:strCache>
            </c:strRef>
          </c:tx>
          <c:spPr>
            <a:solidFill>
              <a:srgbClr val="FBB5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'[Working data for new executive summary Jan 2023.xlsx]CW waitlist data'!$A$35:$A$40</c:f>
              <c:strCache>
                <c:ptCount val="6"/>
                <c:pt idx="0">
                  <c:v>NDAP</c:v>
                </c:pt>
                <c:pt idx="1">
                  <c:v>State/territory</c:v>
                </c:pt>
                <c:pt idx="2">
                  <c:v>NDIS appeals</c:v>
                </c:pt>
                <c:pt idx="3">
                  <c:v>DRC</c:v>
                </c:pt>
                <c:pt idx="4">
                  <c:v>DSP</c:v>
                </c:pt>
                <c:pt idx="5">
                  <c:v>Other</c:v>
                </c:pt>
              </c:strCache>
            </c:strRef>
          </c:cat>
          <c:val>
            <c:numRef>
              <c:f>'[Working data for new executive summary Jan 2023.xlsx]CW waitlist data'!$B$35:$B$40</c:f>
              <c:numCache>
                <c:formatCode>General</c:formatCode>
                <c:ptCount val="6"/>
                <c:pt idx="0">
                  <c:v>3165</c:v>
                </c:pt>
                <c:pt idx="1">
                  <c:v>2636</c:v>
                </c:pt>
                <c:pt idx="2">
                  <c:v>1195</c:v>
                </c:pt>
                <c:pt idx="3">
                  <c:v>485</c:v>
                </c:pt>
                <c:pt idx="4">
                  <c:v>152</c:v>
                </c:pt>
                <c:pt idx="5">
                  <c:v>1554</c:v>
                </c:pt>
              </c:numCache>
            </c:numRef>
          </c:val>
          <c:extLst>
            <c:ext xmlns:c16="http://schemas.microsoft.com/office/drawing/2014/chart" uri="{C3380CC4-5D6E-409C-BE32-E72D297353CC}">
              <c16:uniqueId val="{00000000-3B66-4589-9F9E-1619DDDA9668}"/>
            </c:ext>
          </c:extLst>
        </c:ser>
        <c:ser>
          <c:idx val="1"/>
          <c:order val="1"/>
          <c:tx>
            <c:strRef>
              <c:f>'[Working data for new executive summary Jan 2023.xlsx]CW waitlist data'!$C$34</c:f>
              <c:strCache>
                <c:ptCount val="1"/>
                <c:pt idx="0">
                  <c:v>Did not become an advocacy client (eligible)</c:v>
                </c:pt>
              </c:strCache>
            </c:strRef>
          </c:tx>
          <c:spPr>
            <a:solidFill>
              <a:srgbClr val="42738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'[Working data for new executive summary Jan 2023.xlsx]CW waitlist data'!$A$35:$A$40</c:f>
              <c:strCache>
                <c:ptCount val="6"/>
                <c:pt idx="0">
                  <c:v>NDAP</c:v>
                </c:pt>
                <c:pt idx="1">
                  <c:v>State/territory</c:v>
                </c:pt>
                <c:pt idx="2">
                  <c:v>NDIS appeals</c:v>
                </c:pt>
                <c:pt idx="3">
                  <c:v>DRC</c:v>
                </c:pt>
                <c:pt idx="4">
                  <c:v>DSP</c:v>
                </c:pt>
                <c:pt idx="5">
                  <c:v>Other</c:v>
                </c:pt>
              </c:strCache>
            </c:strRef>
          </c:cat>
          <c:val>
            <c:numRef>
              <c:f>'[Working data for new executive summary Jan 2023.xlsx]CW waitlist data'!$C$35:$C$40</c:f>
              <c:numCache>
                <c:formatCode>General</c:formatCode>
                <c:ptCount val="6"/>
                <c:pt idx="0">
                  <c:v>1094</c:v>
                </c:pt>
                <c:pt idx="1">
                  <c:v>1312</c:v>
                </c:pt>
                <c:pt idx="2">
                  <c:v>830</c:v>
                </c:pt>
                <c:pt idx="3">
                  <c:v>44</c:v>
                </c:pt>
                <c:pt idx="4">
                  <c:v>15</c:v>
                </c:pt>
                <c:pt idx="5">
                  <c:v>103</c:v>
                </c:pt>
              </c:numCache>
            </c:numRef>
          </c:val>
          <c:extLst>
            <c:ext xmlns:c16="http://schemas.microsoft.com/office/drawing/2014/chart" uri="{C3380CC4-5D6E-409C-BE32-E72D297353CC}">
              <c16:uniqueId val="{00000001-3B66-4589-9F9E-1619DDDA9668}"/>
            </c:ext>
          </c:extLst>
        </c:ser>
        <c:ser>
          <c:idx val="2"/>
          <c:order val="2"/>
          <c:tx>
            <c:strRef>
              <c:f>'[Working data for new executive summary Jan 2023.xlsx]CW waitlist data'!$D$34</c:f>
              <c:strCache>
                <c:ptCount val="1"/>
                <c:pt idx="0">
                  <c:v>On waitlist at the end of the month</c:v>
                </c:pt>
              </c:strCache>
            </c:strRef>
          </c:tx>
          <c:spPr>
            <a:solidFill>
              <a:srgbClr val="002B4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'[Working data for new executive summary Jan 2023.xlsx]CW waitlist data'!$A$35:$A$40</c:f>
              <c:strCache>
                <c:ptCount val="6"/>
                <c:pt idx="0">
                  <c:v>NDAP</c:v>
                </c:pt>
                <c:pt idx="1">
                  <c:v>State/territory</c:v>
                </c:pt>
                <c:pt idx="2">
                  <c:v>NDIS appeals</c:v>
                </c:pt>
                <c:pt idx="3">
                  <c:v>DRC</c:v>
                </c:pt>
                <c:pt idx="4">
                  <c:v>DSP</c:v>
                </c:pt>
                <c:pt idx="5">
                  <c:v>Other</c:v>
                </c:pt>
              </c:strCache>
            </c:strRef>
          </c:cat>
          <c:val>
            <c:numRef>
              <c:f>'[Working data for new executive summary Jan 2023.xlsx]CW waitlist data'!$D$35:$D$40</c:f>
              <c:numCache>
                <c:formatCode>General</c:formatCode>
                <c:ptCount val="6"/>
                <c:pt idx="0">
                  <c:v>2164</c:v>
                </c:pt>
                <c:pt idx="1">
                  <c:v>1656</c:v>
                </c:pt>
                <c:pt idx="2">
                  <c:v>811</c:v>
                </c:pt>
                <c:pt idx="3">
                  <c:v>205</c:v>
                </c:pt>
                <c:pt idx="4">
                  <c:v>76</c:v>
                </c:pt>
                <c:pt idx="5">
                  <c:v>41</c:v>
                </c:pt>
              </c:numCache>
            </c:numRef>
          </c:val>
          <c:extLst>
            <c:ext xmlns:c16="http://schemas.microsoft.com/office/drawing/2014/chart" uri="{C3380CC4-5D6E-409C-BE32-E72D297353CC}">
              <c16:uniqueId val="{00000002-3B66-4589-9F9E-1619DDDA9668}"/>
            </c:ext>
          </c:extLst>
        </c:ser>
        <c:dLbls>
          <c:dLblPos val="outEnd"/>
          <c:showLegendKey val="0"/>
          <c:showVal val="1"/>
          <c:showCatName val="0"/>
          <c:showSerName val="0"/>
          <c:showPercent val="0"/>
          <c:showBubbleSize val="0"/>
        </c:dLbls>
        <c:gapWidth val="219"/>
        <c:overlap val="-27"/>
        <c:axId val="1883697408"/>
        <c:axId val="1883705568"/>
      </c:barChart>
      <c:catAx>
        <c:axId val="1883697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crossAx val="1883705568"/>
        <c:crosses val="autoZero"/>
        <c:auto val="1"/>
        <c:lblAlgn val="ctr"/>
        <c:lblOffset val="100"/>
        <c:noMultiLvlLbl val="0"/>
      </c:catAx>
      <c:valAx>
        <c:axId val="1883705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crossAx val="1883697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latin typeface="Helvetica" panose="020B0604020202020204" pitchFamily="34" charset="0"/>
                <a:cs typeface="Helvetica" panose="020B0604020202020204" pitchFamily="34" charset="0"/>
              </a:rPr>
              <a:t>Unmet</a:t>
            </a:r>
            <a:r>
              <a:rPr lang="en-US" sz="1200" baseline="0">
                <a:solidFill>
                  <a:sysClr val="windowText" lastClr="000000"/>
                </a:solidFill>
                <a:latin typeface="Helvetica" panose="020B0604020202020204" pitchFamily="34" charset="0"/>
                <a:cs typeface="Helvetica" panose="020B0604020202020204" pitchFamily="34" charset="0"/>
              </a:rPr>
              <a:t> demand and waitlist - NDIS appeals</a:t>
            </a:r>
          </a:p>
          <a:p>
            <a:pPr>
              <a:defRPr/>
            </a:pPr>
            <a:r>
              <a:rPr lang="en-US" sz="1200" baseline="0">
                <a:solidFill>
                  <a:sysClr val="windowText" lastClr="000000"/>
                </a:solidFill>
                <a:latin typeface="Helvetica" panose="020B0604020202020204" pitchFamily="34" charset="0"/>
                <a:cs typeface="Helvetica" panose="020B0604020202020204" pitchFamily="34" charset="0"/>
              </a:rPr>
              <a:t>September 2021 - February 2022</a:t>
            </a:r>
            <a:endParaRPr lang="en-US" sz="1200">
              <a:solidFill>
                <a:sysClr val="windowText" lastClr="000000"/>
              </a:solidFill>
              <a:latin typeface="Helvetica" panose="020B0604020202020204" pitchFamily="34" charset="0"/>
              <a:cs typeface="Helvetica"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'[Working data for new executive summary Jan 2023.xlsx]CW waitlist data'!$A$44</c:f>
              <c:strCache>
                <c:ptCount val="1"/>
                <c:pt idx="0">
                  <c:v>NDIS appeals</c:v>
                </c:pt>
              </c:strCache>
            </c:strRef>
          </c:tx>
          <c:spPr>
            <a:solidFill>
              <a:schemeClr val="accent1"/>
            </a:solidFill>
            <a:ln>
              <a:noFill/>
            </a:ln>
            <a:effectLst/>
          </c:spPr>
          <c:invertIfNegative val="0"/>
          <c:dPt>
            <c:idx val="0"/>
            <c:invertIfNegative val="0"/>
            <c:bubble3D val="0"/>
            <c:spPr>
              <a:solidFill>
                <a:srgbClr val="FBB500"/>
              </a:solidFill>
              <a:ln>
                <a:noFill/>
              </a:ln>
              <a:effectLst/>
            </c:spPr>
            <c:extLst>
              <c:ext xmlns:c16="http://schemas.microsoft.com/office/drawing/2014/chart" uri="{C3380CC4-5D6E-409C-BE32-E72D297353CC}">
                <c16:uniqueId val="{00000001-0B54-4E50-8533-4722422D7282}"/>
              </c:ext>
            </c:extLst>
          </c:dPt>
          <c:dPt>
            <c:idx val="1"/>
            <c:invertIfNegative val="0"/>
            <c:bubble3D val="0"/>
            <c:spPr>
              <a:solidFill>
                <a:srgbClr val="42738E"/>
              </a:solidFill>
              <a:ln>
                <a:noFill/>
              </a:ln>
              <a:effectLst/>
            </c:spPr>
            <c:extLst>
              <c:ext xmlns:c16="http://schemas.microsoft.com/office/drawing/2014/chart" uri="{C3380CC4-5D6E-409C-BE32-E72D297353CC}">
                <c16:uniqueId val="{00000003-0B54-4E50-8533-4722422D7282}"/>
              </c:ext>
            </c:extLst>
          </c:dPt>
          <c:dPt>
            <c:idx val="2"/>
            <c:invertIfNegative val="0"/>
            <c:bubble3D val="0"/>
            <c:spPr>
              <a:solidFill>
                <a:srgbClr val="002B45"/>
              </a:solidFill>
              <a:ln>
                <a:noFill/>
              </a:ln>
              <a:effectLst/>
            </c:spPr>
            <c:extLst>
              <c:ext xmlns:c16="http://schemas.microsoft.com/office/drawing/2014/chart" uri="{C3380CC4-5D6E-409C-BE32-E72D297353CC}">
                <c16:uniqueId val="{00000005-0B54-4E50-8533-4722422D7282}"/>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54-4E50-8533-4722422D7282}"/>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B54-4E50-8533-4722422D7282}"/>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B54-4E50-8533-4722422D728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'[Working data for new executive summary Jan 2023.xlsx]CW waitlist data'!$B$43:$D$43</c:f>
              <c:strCache>
                <c:ptCount val="3"/>
                <c:pt idx="0">
                  <c:v>Became an advocacy client</c:v>
                </c:pt>
                <c:pt idx="1">
                  <c:v>Did not become an advocacy client (eligible)</c:v>
                </c:pt>
                <c:pt idx="2">
                  <c:v>On waitlist at the end of the month</c:v>
                </c:pt>
              </c:strCache>
            </c:strRef>
          </c:cat>
          <c:val>
            <c:numRef>
              <c:f>'[Working data for new executive summary Jan 2023.xlsx]CW waitlist data'!$B$44:$D$44</c:f>
              <c:numCache>
                <c:formatCode>General</c:formatCode>
                <c:ptCount val="3"/>
                <c:pt idx="0">
                  <c:v>1195</c:v>
                </c:pt>
                <c:pt idx="1">
                  <c:v>830</c:v>
                </c:pt>
                <c:pt idx="2">
                  <c:v>811</c:v>
                </c:pt>
              </c:numCache>
            </c:numRef>
          </c:val>
          <c:extLst>
            <c:ext xmlns:c16="http://schemas.microsoft.com/office/drawing/2014/chart" uri="{C3380CC4-5D6E-409C-BE32-E72D297353CC}">
              <c16:uniqueId val="{00000006-0B54-4E50-8533-4722422D7282}"/>
            </c:ext>
          </c:extLst>
        </c:ser>
        <c:dLbls>
          <c:showLegendKey val="0"/>
          <c:showVal val="0"/>
          <c:showCatName val="0"/>
          <c:showSerName val="0"/>
          <c:showPercent val="0"/>
          <c:showBubbleSize val="0"/>
        </c:dLbls>
        <c:gapWidth val="219"/>
        <c:overlap val="-27"/>
        <c:axId val="707990864"/>
        <c:axId val="707990384"/>
      </c:barChart>
      <c:catAx>
        <c:axId val="70799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crossAx val="707990384"/>
        <c:crosses val="autoZero"/>
        <c:auto val="1"/>
        <c:lblAlgn val="ctr"/>
        <c:lblOffset val="100"/>
        <c:noMultiLvlLbl val="0"/>
      </c:catAx>
      <c:valAx>
        <c:axId val="707990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crossAx val="707990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200">
                <a:solidFill>
                  <a:sysClr val="windowText" lastClr="000000"/>
                </a:solidFill>
                <a:latin typeface="Helvetica" panose="020B0604020202020204" pitchFamily="34" charset="0"/>
                <a:cs typeface="Helvetica" panose="020B0604020202020204" pitchFamily="34" charset="0"/>
              </a:rPr>
              <a:t>Unmet demand and waitlist - NDIS appeals</a:t>
            </a:r>
          </a:p>
          <a:p>
            <a:pPr>
              <a:defRPr/>
            </a:pPr>
            <a:r>
              <a:rPr lang="en-AU" sz="1200">
                <a:solidFill>
                  <a:sysClr val="windowText" lastClr="000000"/>
                </a:solidFill>
                <a:latin typeface="Helvetica" panose="020B0604020202020204" pitchFamily="34" charset="0"/>
                <a:cs typeface="Helvetica" panose="020B0604020202020204" pitchFamily="34" charset="0"/>
              </a:rPr>
              <a:t>September 2021 - February</a:t>
            </a:r>
            <a:r>
              <a:rPr lang="en-AU" sz="1200" baseline="0">
                <a:solidFill>
                  <a:sysClr val="windowText" lastClr="000000"/>
                </a:solidFill>
                <a:latin typeface="Helvetica" panose="020B0604020202020204" pitchFamily="34" charset="0"/>
                <a:cs typeface="Helvetica" panose="020B0604020202020204" pitchFamily="34" charset="0"/>
              </a:rPr>
              <a:t> 2022</a:t>
            </a:r>
            <a:endParaRPr lang="en-AU" sz="1200">
              <a:solidFill>
                <a:sysClr val="windowText" lastClr="000000"/>
              </a:solidFill>
              <a:latin typeface="Helvetica" panose="020B0604020202020204" pitchFamily="34" charset="0"/>
              <a:cs typeface="Helvetica"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BB500"/>
              </a:solidFill>
              <a:ln w="19050">
                <a:solidFill>
                  <a:schemeClr val="lt1"/>
                </a:solidFill>
              </a:ln>
              <a:effectLst/>
            </c:spPr>
            <c:extLst>
              <c:ext xmlns:c16="http://schemas.microsoft.com/office/drawing/2014/chart" uri="{C3380CC4-5D6E-409C-BE32-E72D297353CC}">
                <c16:uniqueId val="{00000001-BC9A-4157-84AA-2BF6DE8C9D44}"/>
              </c:ext>
            </c:extLst>
          </c:dPt>
          <c:dPt>
            <c:idx val="1"/>
            <c:bubble3D val="0"/>
            <c:spPr>
              <a:solidFill>
                <a:srgbClr val="4D738A"/>
              </a:solidFill>
              <a:ln w="19050">
                <a:solidFill>
                  <a:schemeClr val="lt1"/>
                </a:solidFill>
              </a:ln>
              <a:effectLst/>
            </c:spPr>
            <c:extLst>
              <c:ext xmlns:c16="http://schemas.microsoft.com/office/drawing/2014/chart" uri="{C3380CC4-5D6E-409C-BE32-E72D297353CC}">
                <c16:uniqueId val="{00000003-BC9A-4157-84AA-2BF6DE8C9D44}"/>
              </c:ext>
            </c:extLst>
          </c:dPt>
          <c:dPt>
            <c:idx val="2"/>
            <c:bubble3D val="0"/>
            <c:spPr>
              <a:solidFill>
                <a:srgbClr val="002B45"/>
              </a:solidFill>
              <a:ln w="19050">
                <a:solidFill>
                  <a:schemeClr val="lt1"/>
                </a:solidFill>
              </a:ln>
              <a:effectLst/>
            </c:spPr>
            <c:extLst>
              <c:ext xmlns:c16="http://schemas.microsoft.com/office/drawing/2014/chart" uri="{C3380CC4-5D6E-409C-BE32-E72D297353CC}">
                <c16:uniqueId val="{00000005-BC9A-4157-84AA-2BF6DE8C9D44}"/>
              </c:ext>
            </c:extLst>
          </c:dPt>
          <c:dLbls>
            <c:dLbl>
              <c:idx val="0"/>
              <c:tx>
                <c:rich>
                  <a:bodyPr/>
                  <a:lstStyle/>
                  <a:p>
                    <a:fld id="{E5794129-DA4F-4142-90BD-C9EF8EF6BCA2}" type="CELLRANGE">
                      <a:rPr lang="en-US"/>
                      <a:pPr/>
                      <a:t>[CELLRANGE]</a:t>
                    </a:fld>
                    <a:r>
                      <a:rPr lang="en-US" baseline="0"/>
                      <a:t>, </a:t>
                    </a:r>
                    <a:fld id="{ECD7F262-2174-4F50-BB29-073B925FA676}" type="VALUE">
                      <a:rPr lang="en-US" baseline="0"/>
                      <a:pPr/>
                      <a:t>[VALUE]</a:t>
                    </a:fld>
                    <a:endParaRPr lang="en-US"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BC9A-4157-84AA-2BF6DE8C9D44}"/>
                </c:ext>
              </c:extLst>
            </c:dLbl>
            <c:dLbl>
              <c:idx val="1"/>
              <c:tx>
                <c:rich>
                  <a:bodyPr/>
                  <a:lstStyle/>
                  <a:p>
                    <a:fld id="{DFB9D9AD-80DB-41DA-AC1A-C93CA10A134D}" type="CELLRANGE">
                      <a:rPr lang="en-US"/>
                      <a:pPr/>
                      <a:t>[CELLRANGE]</a:t>
                    </a:fld>
                    <a:r>
                      <a:rPr lang="en-US" baseline="0"/>
                      <a:t>, </a:t>
                    </a:r>
                    <a:fld id="{EE023B45-4193-43F5-A200-E0DD69DF4394}" type="VALUE">
                      <a:rPr lang="en-US" baseline="0"/>
                      <a:pPr/>
                      <a:t>[VALUE]</a:t>
                    </a:fld>
                    <a:endParaRPr lang="en-US"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BC9A-4157-84AA-2BF6DE8C9D44}"/>
                </c:ext>
              </c:extLst>
            </c:dLbl>
            <c:dLbl>
              <c:idx val="2"/>
              <c:tx>
                <c:rich>
                  <a:bodyPr/>
                  <a:lstStyle/>
                  <a:p>
                    <a:fld id="{89B28B6E-815D-435F-A47A-CC3A032E9C04}" type="CELLRANGE">
                      <a:rPr lang="en-US"/>
                      <a:pPr/>
                      <a:t>[CELLRANGE]</a:t>
                    </a:fld>
                    <a:r>
                      <a:rPr lang="en-US" baseline="0"/>
                      <a:t>, </a:t>
                    </a:r>
                    <a:fld id="{14CF25D4-2D65-4D13-8A44-9CD27460FF58}" type="VALUE">
                      <a:rPr lang="en-US" baseline="0"/>
                      <a:pPr/>
                      <a:t>[VALUE]</a:t>
                    </a:fld>
                    <a:endParaRPr lang="en-US" baseline="0"/>
                  </a:p>
                </c:rich>
              </c:tx>
              <c:dLblPos val="outEnd"/>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BC9A-4157-84AA-2BF6DE8C9D4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'[Working data for new executive summary Jan 2023.xlsx]Oct 2023 pie'!$A$7:$C$7</c:f>
              <c:strCache>
                <c:ptCount val="3"/>
                <c:pt idx="0">
                  <c:v>Became an advocacy client</c:v>
                </c:pt>
                <c:pt idx="1">
                  <c:v>Did not become an advocacy client (eligible)</c:v>
                </c:pt>
                <c:pt idx="2">
                  <c:v>On waitlist at the end of the month</c:v>
                </c:pt>
              </c:strCache>
            </c:strRef>
          </c:cat>
          <c:val>
            <c:numRef>
              <c:f>'[Working data for new executive summary Jan 2023.xlsx]Oct 2023 pie'!$A$8:$C$8</c:f>
              <c:numCache>
                <c:formatCode>General</c:formatCode>
                <c:ptCount val="3"/>
                <c:pt idx="0">
                  <c:v>1195</c:v>
                </c:pt>
                <c:pt idx="1">
                  <c:v>830</c:v>
                </c:pt>
                <c:pt idx="2">
                  <c:v>811</c:v>
                </c:pt>
              </c:numCache>
            </c:numRef>
          </c:val>
          <c:extLst>
            <c:ext xmlns:c15="http://schemas.microsoft.com/office/drawing/2012/chart" uri="{02D57815-91ED-43cb-92C2-25804820EDAC}">
              <c15:datalabelsRange>
                <c15:f>'[Working data for new executive summary Jan 2023.xlsx]Oct 2023 pie'!$A$9:$C$9</c15:f>
                <c15:dlblRangeCache>
                  <c:ptCount val="3"/>
                  <c:pt idx="0">
                    <c:v>42%</c:v>
                  </c:pt>
                  <c:pt idx="1">
                    <c:v>29%</c:v>
                  </c:pt>
                  <c:pt idx="2">
                    <c:v>29%</c:v>
                  </c:pt>
                </c15:dlblRangeCache>
              </c15:datalabelsRange>
            </c:ext>
            <c:ext xmlns:c16="http://schemas.microsoft.com/office/drawing/2014/chart" uri="{C3380CC4-5D6E-409C-BE32-E72D297353CC}">
              <c16:uniqueId val="{00000006-BC9A-4157-84AA-2BF6DE8C9D44}"/>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latin typeface="Helvetica" panose="020B0604020202020204" pitchFamily="34" charset="0"/>
                <a:cs typeface="Helvetica" panose="020B0604020202020204" pitchFamily="34" charset="0"/>
              </a:rPr>
              <a:t>Books closed:</a:t>
            </a:r>
            <a:r>
              <a:rPr lang="en-US" sz="1200" baseline="0">
                <a:solidFill>
                  <a:sysClr val="windowText" lastClr="000000"/>
                </a:solidFill>
                <a:latin typeface="Helvetica" panose="020B0604020202020204" pitchFamily="34" charset="0"/>
                <a:cs typeface="Helvetica" panose="020B0604020202020204" pitchFamily="34" charset="0"/>
              </a:rPr>
              <a:t> </a:t>
            </a:r>
            <a:r>
              <a:rPr lang="en-US" sz="1200">
                <a:solidFill>
                  <a:sysClr val="windowText" lastClr="000000"/>
                </a:solidFill>
                <a:latin typeface="Helvetica" panose="020B0604020202020204" pitchFamily="34" charset="0"/>
                <a:cs typeface="Helvetica" panose="020B0604020202020204" pitchFamily="34" charset="0"/>
              </a:rPr>
              <a:t>Total days by month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'[Intake Survey entire data set_cleaning 15062022 Sara.xlsx]Books Closed'!$B$239</c:f>
              <c:strCache>
                <c:ptCount val="1"/>
                <c:pt idx="0">
                  <c:v>Total days</c:v>
                </c:pt>
              </c:strCache>
            </c:strRef>
          </c:tx>
          <c:spPr>
            <a:solidFill>
              <a:srgbClr val="002B4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BB500"/>
                </a:solidFill>
                <a:prstDash val="sysDot"/>
              </a:ln>
              <a:effectLst/>
            </c:spPr>
            <c:trendlineType val="linear"/>
            <c:dispRSqr val="0"/>
            <c:dispEq val="0"/>
          </c:trendline>
          <c:cat>
            <c:strRef>
              <c:f>'[Intake Survey entire data set_cleaning 15062022 Sara.xlsx]Books Closed'!$A$240:$A$245</c:f>
              <c:strCache>
                <c:ptCount val="6"/>
                <c:pt idx="0">
                  <c:v>September 2021</c:v>
                </c:pt>
                <c:pt idx="1">
                  <c:v>October 2021</c:v>
                </c:pt>
                <c:pt idx="2">
                  <c:v>November 2021</c:v>
                </c:pt>
                <c:pt idx="3">
                  <c:v>December 2021</c:v>
                </c:pt>
                <c:pt idx="4">
                  <c:v>January 2022</c:v>
                </c:pt>
                <c:pt idx="5">
                  <c:v>February 2022</c:v>
                </c:pt>
              </c:strCache>
            </c:strRef>
          </c:cat>
          <c:val>
            <c:numRef>
              <c:f>'[Intake Survey entire data set_cleaning 15062022 Sara.xlsx]Books Closed'!$B$240:$B$245</c:f>
              <c:numCache>
                <c:formatCode>General</c:formatCode>
                <c:ptCount val="6"/>
                <c:pt idx="0">
                  <c:v>203</c:v>
                </c:pt>
                <c:pt idx="1">
                  <c:v>275</c:v>
                </c:pt>
                <c:pt idx="2">
                  <c:v>447</c:v>
                </c:pt>
                <c:pt idx="3">
                  <c:v>587</c:v>
                </c:pt>
                <c:pt idx="4">
                  <c:v>471</c:v>
                </c:pt>
                <c:pt idx="5">
                  <c:v>374</c:v>
                </c:pt>
              </c:numCache>
            </c:numRef>
          </c:val>
          <c:extLst>
            <c:ext xmlns:c16="http://schemas.microsoft.com/office/drawing/2014/chart" uri="{C3380CC4-5D6E-409C-BE32-E72D297353CC}">
              <c16:uniqueId val="{00000001-7522-41D1-B959-000D7D21E66D}"/>
            </c:ext>
          </c:extLst>
        </c:ser>
        <c:dLbls>
          <c:dLblPos val="outEnd"/>
          <c:showLegendKey val="0"/>
          <c:showVal val="1"/>
          <c:showCatName val="0"/>
          <c:showSerName val="0"/>
          <c:showPercent val="0"/>
          <c:showBubbleSize val="0"/>
        </c:dLbls>
        <c:gapWidth val="219"/>
        <c:overlap val="-27"/>
        <c:axId val="1183612767"/>
        <c:axId val="1183614015"/>
      </c:barChart>
      <c:catAx>
        <c:axId val="11836127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crossAx val="1183614015"/>
        <c:crosses val="autoZero"/>
        <c:auto val="1"/>
        <c:lblAlgn val="ctr"/>
        <c:lblOffset val="100"/>
        <c:noMultiLvlLbl val="0"/>
      </c:catAx>
      <c:valAx>
        <c:axId val="11836140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crossAx val="118361276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95CCBE95C2546AFD0AEDA669C28AF" ma:contentTypeVersion="13" ma:contentTypeDescription="Create a new document." ma:contentTypeScope="" ma:versionID="07874e49574b4c8059b03745e7788702">
  <xsd:schema xmlns:xsd="http://www.w3.org/2001/XMLSchema" xmlns:xs="http://www.w3.org/2001/XMLSchema" xmlns:p="http://schemas.microsoft.com/office/2006/metadata/properties" xmlns:ns2="5e0a3983-cf7b-4091-a29b-0f0ad8581fa1" xmlns:ns3="01664a1a-cb1e-415c-8f3f-5663cc1b4fab" targetNamespace="http://schemas.microsoft.com/office/2006/metadata/properties" ma:root="true" ma:fieldsID="7a2d919f79356cfeae62d8d1d0a28eaa" ns2:_="" ns3:_="">
    <xsd:import namespace="5e0a3983-cf7b-4091-a29b-0f0ad8581fa1"/>
    <xsd:import namespace="01664a1a-cb1e-415c-8f3f-5663cc1b4f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a3983-cf7b-4091-a29b-0f0ad858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b301bdd-a675-4e9f-9acf-57cdb8ed9a1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664a1a-cb1e-415c-8f3f-5663cc1b4f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799a343-c501-48aa-854e-2a5afe57a034}" ma:internalName="TaxCatchAll" ma:showField="CatchAllData" ma:web="01664a1a-cb1e-415c-8f3f-5663cc1b4f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1664a1a-cb1e-415c-8f3f-5663cc1b4fab" xsi:nil="true"/>
    <SharedWithUsers xmlns="01664a1a-cb1e-415c-8f3f-5663cc1b4fab">
      <UserInfo>
        <DisplayName>Kim Tyson</DisplayName>
        <AccountId>736</AccountId>
        <AccountType/>
      </UserInfo>
    </SharedWithUsers>
    <lcf76f155ced4ddcb4097134ff3c332f xmlns="5e0a3983-cf7b-4091-a29b-0f0ad8581fa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88E57-E9AF-4050-A922-658D91404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a3983-cf7b-4091-a29b-0f0ad8581fa1"/>
    <ds:schemaRef ds:uri="01664a1a-cb1e-415c-8f3f-5663cc1b4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D2449-227B-4D83-BA61-0B9E46227577}">
  <ds:schemaRefs>
    <ds:schemaRef ds:uri="http://schemas.microsoft.com/office/2006/metadata/properties"/>
    <ds:schemaRef ds:uri="http://schemas.microsoft.com/office/infopath/2007/PartnerControls"/>
    <ds:schemaRef ds:uri="01664a1a-cb1e-415c-8f3f-5663cc1b4fab"/>
    <ds:schemaRef ds:uri="5e0a3983-cf7b-4091-a29b-0f0ad8581fa1"/>
  </ds:schemaRefs>
</ds:datastoreItem>
</file>

<file path=customXml/itemProps3.xml><?xml version="1.0" encoding="utf-8"?>
<ds:datastoreItem xmlns:ds="http://schemas.openxmlformats.org/officeDocument/2006/customXml" ds:itemID="{FEFCCD0B-412F-44A7-8307-C12DEC3E2424}">
  <ds:schemaRefs>
    <ds:schemaRef ds:uri="http://schemas.microsoft.com/sharepoint/v3/contenttype/forms"/>
  </ds:schemaRefs>
</ds:datastoreItem>
</file>

<file path=customXml/itemProps4.xml><?xml version="1.0" encoding="utf-8"?>
<ds:datastoreItem xmlns:ds="http://schemas.openxmlformats.org/officeDocument/2006/customXml" ds:itemID="{8420C110-2FE8-4EFB-856B-336554B9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8237</Words>
  <Characters>49449</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57571</CharactersWithSpaces>
  <SharedDoc>false</SharedDoc>
  <HLinks>
    <vt:vector size="186" baseType="variant">
      <vt:variant>
        <vt:i4>6094932</vt:i4>
      </vt:variant>
      <vt:variant>
        <vt:i4>204</vt:i4>
      </vt:variant>
      <vt:variant>
        <vt:i4>0</vt:i4>
      </vt:variant>
      <vt:variant>
        <vt:i4>5</vt:i4>
      </vt:variant>
      <vt:variant>
        <vt:lpwstr>https://riac.org.au/</vt:lpwstr>
      </vt:variant>
      <vt:variant>
        <vt:lpwstr/>
      </vt:variant>
      <vt:variant>
        <vt:i4>1310781</vt:i4>
      </vt:variant>
      <vt:variant>
        <vt:i4>164</vt:i4>
      </vt:variant>
      <vt:variant>
        <vt:i4>0</vt:i4>
      </vt:variant>
      <vt:variant>
        <vt:i4>5</vt:i4>
      </vt:variant>
      <vt:variant>
        <vt:lpwstr/>
      </vt:variant>
      <vt:variant>
        <vt:lpwstr>_Toc138929603</vt:lpwstr>
      </vt:variant>
      <vt:variant>
        <vt:i4>1310781</vt:i4>
      </vt:variant>
      <vt:variant>
        <vt:i4>158</vt:i4>
      </vt:variant>
      <vt:variant>
        <vt:i4>0</vt:i4>
      </vt:variant>
      <vt:variant>
        <vt:i4>5</vt:i4>
      </vt:variant>
      <vt:variant>
        <vt:lpwstr/>
      </vt:variant>
      <vt:variant>
        <vt:lpwstr>_Toc138929602</vt:lpwstr>
      </vt:variant>
      <vt:variant>
        <vt:i4>1310781</vt:i4>
      </vt:variant>
      <vt:variant>
        <vt:i4>152</vt:i4>
      </vt:variant>
      <vt:variant>
        <vt:i4>0</vt:i4>
      </vt:variant>
      <vt:variant>
        <vt:i4>5</vt:i4>
      </vt:variant>
      <vt:variant>
        <vt:lpwstr/>
      </vt:variant>
      <vt:variant>
        <vt:lpwstr>_Toc138929601</vt:lpwstr>
      </vt:variant>
      <vt:variant>
        <vt:i4>1900605</vt:i4>
      </vt:variant>
      <vt:variant>
        <vt:i4>143</vt:i4>
      </vt:variant>
      <vt:variant>
        <vt:i4>0</vt:i4>
      </vt:variant>
      <vt:variant>
        <vt:i4>5</vt:i4>
      </vt:variant>
      <vt:variant>
        <vt:lpwstr/>
      </vt:variant>
      <vt:variant>
        <vt:lpwstr>_Toc138929699</vt:lpwstr>
      </vt:variant>
      <vt:variant>
        <vt:i4>1900605</vt:i4>
      </vt:variant>
      <vt:variant>
        <vt:i4>137</vt:i4>
      </vt:variant>
      <vt:variant>
        <vt:i4>0</vt:i4>
      </vt:variant>
      <vt:variant>
        <vt:i4>5</vt:i4>
      </vt:variant>
      <vt:variant>
        <vt:lpwstr/>
      </vt:variant>
      <vt:variant>
        <vt:lpwstr>_Toc138929698</vt:lpwstr>
      </vt:variant>
      <vt:variant>
        <vt:i4>1900605</vt:i4>
      </vt:variant>
      <vt:variant>
        <vt:i4>131</vt:i4>
      </vt:variant>
      <vt:variant>
        <vt:i4>0</vt:i4>
      </vt:variant>
      <vt:variant>
        <vt:i4>5</vt:i4>
      </vt:variant>
      <vt:variant>
        <vt:lpwstr/>
      </vt:variant>
      <vt:variant>
        <vt:lpwstr>_Toc138929697</vt:lpwstr>
      </vt:variant>
      <vt:variant>
        <vt:i4>1900605</vt:i4>
      </vt:variant>
      <vt:variant>
        <vt:i4>125</vt:i4>
      </vt:variant>
      <vt:variant>
        <vt:i4>0</vt:i4>
      </vt:variant>
      <vt:variant>
        <vt:i4>5</vt:i4>
      </vt:variant>
      <vt:variant>
        <vt:lpwstr/>
      </vt:variant>
      <vt:variant>
        <vt:lpwstr>_Toc138929696</vt:lpwstr>
      </vt:variant>
      <vt:variant>
        <vt:i4>1900605</vt:i4>
      </vt:variant>
      <vt:variant>
        <vt:i4>119</vt:i4>
      </vt:variant>
      <vt:variant>
        <vt:i4>0</vt:i4>
      </vt:variant>
      <vt:variant>
        <vt:i4>5</vt:i4>
      </vt:variant>
      <vt:variant>
        <vt:lpwstr/>
      </vt:variant>
      <vt:variant>
        <vt:lpwstr>_Toc138929695</vt:lpwstr>
      </vt:variant>
      <vt:variant>
        <vt:i4>1900605</vt:i4>
      </vt:variant>
      <vt:variant>
        <vt:i4>113</vt:i4>
      </vt:variant>
      <vt:variant>
        <vt:i4>0</vt:i4>
      </vt:variant>
      <vt:variant>
        <vt:i4>5</vt:i4>
      </vt:variant>
      <vt:variant>
        <vt:lpwstr/>
      </vt:variant>
      <vt:variant>
        <vt:lpwstr>_Toc138929694</vt:lpwstr>
      </vt:variant>
      <vt:variant>
        <vt:i4>1900605</vt:i4>
      </vt:variant>
      <vt:variant>
        <vt:i4>107</vt:i4>
      </vt:variant>
      <vt:variant>
        <vt:i4>0</vt:i4>
      </vt:variant>
      <vt:variant>
        <vt:i4>5</vt:i4>
      </vt:variant>
      <vt:variant>
        <vt:lpwstr/>
      </vt:variant>
      <vt:variant>
        <vt:lpwstr>_Toc138929693</vt:lpwstr>
      </vt:variant>
      <vt:variant>
        <vt:i4>1900605</vt:i4>
      </vt:variant>
      <vt:variant>
        <vt:i4>101</vt:i4>
      </vt:variant>
      <vt:variant>
        <vt:i4>0</vt:i4>
      </vt:variant>
      <vt:variant>
        <vt:i4>5</vt:i4>
      </vt:variant>
      <vt:variant>
        <vt:lpwstr/>
      </vt:variant>
      <vt:variant>
        <vt:lpwstr>_Toc138929692</vt:lpwstr>
      </vt:variant>
      <vt:variant>
        <vt:i4>1769533</vt:i4>
      </vt:variant>
      <vt:variant>
        <vt:i4>92</vt:i4>
      </vt:variant>
      <vt:variant>
        <vt:i4>0</vt:i4>
      </vt:variant>
      <vt:variant>
        <vt:i4>5</vt:i4>
      </vt:variant>
      <vt:variant>
        <vt:lpwstr/>
      </vt:variant>
      <vt:variant>
        <vt:lpwstr>_Toc138847006</vt:lpwstr>
      </vt:variant>
      <vt:variant>
        <vt:i4>1769533</vt:i4>
      </vt:variant>
      <vt:variant>
        <vt:i4>86</vt:i4>
      </vt:variant>
      <vt:variant>
        <vt:i4>0</vt:i4>
      </vt:variant>
      <vt:variant>
        <vt:i4>5</vt:i4>
      </vt:variant>
      <vt:variant>
        <vt:lpwstr/>
      </vt:variant>
      <vt:variant>
        <vt:lpwstr>_Toc138847005</vt:lpwstr>
      </vt:variant>
      <vt:variant>
        <vt:i4>1769533</vt:i4>
      </vt:variant>
      <vt:variant>
        <vt:i4>80</vt:i4>
      </vt:variant>
      <vt:variant>
        <vt:i4>0</vt:i4>
      </vt:variant>
      <vt:variant>
        <vt:i4>5</vt:i4>
      </vt:variant>
      <vt:variant>
        <vt:lpwstr/>
      </vt:variant>
      <vt:variant>
        <vt:lpwstr>_Toc138847004</vt:lpwstr>
      </vt:variant>
      <vt:variant>
        <vt:i4>1769533</vt:i4>
      </vt:variant>
      <vt:variant>
        <vt:i4>74</vt:i4>
      </vt:variant>
      <vt:variant>
        <vt:i4>0</vt:i4>
      </vt:variant>
      <vt:variant>
        <vt:i4>5</vt:i4>
      </vt:variant>
      <vt:variant>
        <vt:lpwstr/>
      </vt:variant>
      <vt:variant>
        <vt:lpwstr>_Toc138847003</vt:lpwstr>
      </vt:variant>
      <vt:variant>
        <vt:i4>1769533</vt:i4>
      </vt:variant>
      <vt:variant>
        <vt:i4>68</vt:i4>
      </vt:variant>
      <vt:variant>
        <vt:i4>0</vt:i4>
      </vt:variant>
      <vt:variant>
        <vt:i4>5</vt:i4>
      </vt:variant>
      <vt:variant>
        <vt:lpwstr/>
      </vt:variant>
      <vt:variant>
        <vt:lpwstr>_Toc138847002</vt:lpwstr>
      </vt:variant>
      <vt:variant>
        <vt:i4>1769533</vt:i4>
      </vt:variant>
      <vt:variant>
        <vt:i4>62</vt:i4>
      </vt:variant>
      <vt:variant>
        <vt:i4>0</vt:i4>
      </vt:variant>
      <vt:variant>
        <vt:i4>5</vt:i4>
      </vt:variant>
      <vt:variant>
        <vt:lpwstr/>
      </vt:variant>
      <vt:variant>
        <vt:lpwstr>_Toc138847001</vt:lpwstr>
      </vt:variant>
      <vt:variant>
        <vt:i4>1769533</vt:i4>
      </vt:variant>
      <vt:variant>
        <vt:i4>56</vt:i4>
      </vt:variant>
      <vt:variant>
        <vt:i4>0</vt:i4>
      </vt:variant>
      <vt:variant>
        <vt:i4>5</vt:i4>
      </vt:variant>
      <vt:variant>
        <vt:lpwstr/>
      </vt:variant>
      <vt:variant>
        <vt:lpwstr>_Toc138847000</vt:lpwstr>
      </vt:variant>
      <vt:variant>
        <vt:i4>1245236</vt:i4>
      </vt:variant>
      <vt:variant>
        <vt:i4>50</vt:i4>
      </vt:variant>
      <vt:variant>
        <vt:i4>0</vt:i4>
      </vt:variant>
      <vt:variant>
        <vt:i4>5</vt:i4>
      </vt:variant>
      <vt:variant>
        <vt:lpwstr/>
      </vt:variant>
      <vt:variant>
        <vt:lpwstr>_Toc138846999</vt:lpwstr>
      </vt:variant>
      <vt:variant>
        <vt:i4>1245236</vt:i4>
      </vt:variant>
      <vt:variant>
        <vt:i4>44</vt:i4>
      </vt:variant>
      <vt:variant>
        <vt:i4>0</vt:i4>
      </vt:variant>
      <vt:variant>
        <vt:i4>5</vt:i4>
      </vt:variant>
      <vt:variant>
        <vt:lpwstr/>
      </vt:variant>
      <vt:variant>
        <vt:lpwstr>_Toc138846998</vt:lpwstr>
      </vt:variant>
      <vt:variant>
        <vt:i4>1245236</vt:i4>
      </vt:variant>
      <vt:variant>
        <vt:i4>38</vt:i4>
      </vt:variant>
      <vt:variant>
        <vt:i4>0</vt:i4>
      </vt:variant>
      <vt:variant>
        <vt:i4>5</vt:i4>
      </vt:variant>
      <vt:variant>
        <vt:lpwstr/>
      </vt:variant>
      <vt:variant>
        <vt:lpwstr>_Toc138846997</vt:lpwstr>
      </vt:variant>
      <vt:variant>
        <vt:i4>1245236</vt:i4>
      </vt:variant>
      <vt:variant>
        <vt:i4>32</vt:i4>
      </vt:variant>
      <vt:variant>
        <vt:i4>0</vt:i4>
      </vt:variant>
      <vt:variant>
        <vt:i4>5</vt:i4>
      </vt:variant>
      <vt:variant>
        <vt:lpwstr/>
      </vt:variant>
      <vt:variant>
        <vt:lpwstr>_Toc138846996</vt:lpwstr>
      </vt:variant>
      <vt:variant>
        <vt:i4>1245236</vt:i4>
      </vt:variant>
      <vt:variant>
        <vt:i4>26</vt:i4>
      </vt:variant>
      <vt:variant>
        <vt:i4>0</vt:i4>
      </vt:variant>
      <vt:variant>
        <vt:i4>5</vt:i4>
      </vt:variant>
      <vt:variant>
        <vt:lpwstr/>
      </vt:variant>
      <vt:variant>
        <vt:lpwstr>_Toc138846995</vt:lpwstr>
      </vt:variant>
      <vt:variant>
        <vt:i4>1245236</vt:i4>
      </vt:variant>
      <vt:variant>
        <vt:i4>20</vt:i4>
      </vt:variant>
      <vt:variant>
        <vt:i4>0</vt:i4>
      </vt:variant>
      <vt:variant>
        <vt:i4>5</vt:i4>
      </vt:variant>
      <vt:variant>
        <vt:lpwstr/>
      </vt:variant>
      <vt:variant>
        <vt:lpwstr>_Toc138846994</vt:lpwstr>
      </vt:variant>
      <vt:variant>
        <vt:i4>1245236</vt:i4>
      </vt:variant>
      <vt:variant>
        <vt:i4>14</vt:i4>
      </vt:variant>
      <vt:variant>
        <vt:i4>0</vt:i4>
      </vt:variant>
      <vt:variant>
        <vt:i4>5</vt:i4>
      </vt:variant>
      <vt:variant>
        <vt:lpwstr/>
      </vt:variant>
      <vt:variant>
        <vt:lpwstr>_Toc138846993</vt:lpwstr>
      </vt:variant>
      <vt:variant>
        <vt:i4>1245236</vt:i4>
      </vt:variant>
      <vt:variant>
        <vt:i4>8</vt:i4>
      </vt:variant>
      <vt:variant>
        <vt:i4>0</vt:i4>
      </vt:variant>
      <vt:variant>
        <vt:i4>5</vt:i4>
      </vt:variant>
      <vt:variant>
        <vt:lpwstr/>
      </vt:variant>
      <vt:variant>
        <vt:lpwstr>_Toc138846992</vt:lpwstr>
      </vt:variant>
      <vt:variant>
        <vt:i4>1245236</vt:i4>
      </vt:variant>
      <vt:variant>
        <vt:i4>2</vt:i4>
      </vt:variant>
      <vt:variant>
        <vt:i4>0</vt:i4>
      </vt:variant>
      <vt:variant>
        <vt:i4>5</vt:i4>
      </vt:variant>
      <vt:variant>
        <vt:lpwstr/>
      </vt:variant>
      <vt:variant>
        <vt:lpwstr>_Toc138846991</vt:lpwstr>
      </vt:variant>
      <vt:variant>
        <vt:i4>1376284</vt:i4>
      </vt:variant>
      <vt:variant>
        <vt:i4>6</vt:i4>
      </vt:variant>
      <vt:variant>
        <vt:i4>0</vt:i4>
      </vt:variant>
      <vt:variant>
        <vt:i4>5</vt:i4>
      </vt:variant>
      <vt:variant>
        <vt:lpwstr>https://www.abc.net.au/radio/programs/pm/disability-advocates-forced-to-turn-people-away/13830050</vt:lpwstr>
      </vt:variant>
      <vt:variant>
        <vt:lpwstr/>
      </vt:variant>
      <vt:variant>
        <vt:i4>7667763</vt:i4>
      </vt:variant>
      <vt:variant>
        <vt:i4>3</vt:i4>
      </vt:variant>
      <vt:variant>
        <vt:i4>0</vt:i4>
      </vt:variant>
      <vt:variant>
        <vt:i4>5</vt:i4>
      </vt:variant>
      <vt:variant>
        <vt:lpwstr>https://dex.dss.gov.au/sites/default/files/documents/2023-02/1851-program-specific-guidance.pdf</vt:lpwstr>
      </vt:variant>
      <vt:variant>
        <vt:lpwstr/>
      </vt:variant>
      <vt:variant>
        <vt:i4>7667763</vt:i4>
      </vt:variant>
      <vt:variant>
        <vt:i4>0</vt:i4>
      </vt:variant>
      <vt:variant>
        <vt:i4>0</vt:i4>
      </vt:variant>
      <vt:variant>
        <vt:i4>5</vt:i4>
      </vt:variant>
      <vt:variant>
        <vt:lpwstr>https://dex.dss.gov.au/sites/default/files/documents/2023-02/1851-program-specific-guidance.pdf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Lienhop</dc:creator>
  <cp:keywords>[SEC=UNOFFICIAL]</cp:keywords>
  <dc:description/>
  <cp:lastModifiedBy>Liz Cunneen</cp:lastModifiedBy>
  <cp:revision>9</cp:revision>
  <cp:lastPrinted>2023-10-31T22:32:00Z</cp:lastPrinted>
  <dcterms:created xsi:type="dcterms:W3CDTF">2023-10-31T22:30:00Z</dcterms:created>
  <dcterms:modified xsi:type="dcterms:W3CDTF">2023-10-31T22:39:00Z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Order">
    <vt:r8>106400</vt:r8>
  </property>
  <property fmtid="{D5CDD505-2E9C-101B-9397-08002B2CF9AE}" pid="4" name="ContentTypeId">
    <vt:lpwstr>0x01010009595CCBE95C2546AFD0AEDA669C28AF</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UNOFFICIAL</vt:lpwstr>
  </property>
  <property fmtid="{D5CDD505-2E9C-101B-9397-08002B2CF9AE}" pid="8" name="PM_Qualifier">
    <vt:lpwstr/>
  </property>
  <property fmtid="{D5CDD505-2E9C-101B-9397-08002B2CF9AE}" pid="9" name="PM_SecurityClassification">
    <vt:lpwstr>UNOFFICIAL</vt:lpwstr>
  </property>
  <property fmtid="{D5CDD505-2E9C-101B-9397-08002B2CF9AE}" pid="10" name="PM_InsertionValue">
    <vt:lpwstr>UNOFFICIAL</vt:lpwstr>
  </property>
  <property fmtid="{D5CDD505-2E9C-101B-9397-08002B2CF9AE}" pid="11" name="PM_Originating_FileId">
    <vt:lpwstr>CB7CEFC6DEB240E9870192B914151E45</vt:lpwstr>
  </property>
  <property fmtid="{D5CDD505-2E9C-101B-9397-08002B2CF9AE}" pid="12" name="PM_ProtectiveMarkingValue_Footer">
    <vt:lpwstr>UNOFFICIAL</vt:lpwstr>
  </property>
  <property fmtid="{D5CDD505-2E9C-101B-9397-08002B2CF9AE}" pid="13" name="PM_Originator_Hash_SHA1">
    <vt:lpwstr>9F40ED11538AFC2B07627F27FD33A6B17CFCA023</vt:lpwstr>
  </property>
  <property fmtid="{D5CDD505-2E9C-101B-9397-08002B2CF9AE}" pid="14" name="PM_OriginationTimeStamp">
    <vt:lpwstr>2023-10-06T02:00:51Z</vt:lpwstr>
  </property>
  <property fmtid="{D5CDD505-2E9C-101B-9397-08002B2CF9AE}" pid="15" name="PM_ProtectiveMarkingValue_Header">
    <vt:lpwstr>UNOFFICIAL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UNOFFICIAL</vt:lpwstr>
  </property>
  <property fmtid="{D5CDD505-2E9C-101B-9397-08002B2CF9AE}" pid="22" name="PM_Hash_Version">
    <vt:lpwstr>2018.0</vt:lpwstr>
  </property>
  <property fmtid="{D5CDD505-2E9C-101B-9397-08002B2CF9AE}" pid="23" name="PM_Hash_Salt_Prev">
    <vt:lpwstr>8F706FF00EB11F65A16F2A5741AF792F</vt:lpwstr>
  </property>
  <property fmtid="{D5CDD505-2E9C-101B-9397-08002B2CF9AE}" pid="24" name="PM_Hash_Salt">
    <vt:lpwstr>66C30CCD9580956B877D48600786F9A8</vt:lpwstr>
  </property>
  <property fmtid="{D5CDD505-2E9C-101B-9397-08002B2CF9AE}" pid="25" name="PM_Hash_SHA1">
    <vt:lpwstr>1590D7A23DC1010B48D6D1935E6571C3D0368628</vt:lpwstr>
  </property>
  <property fmtid="{D5CDD505-2E9C-101B-9397-08002B2CF9AE}" pid="26" name="PM_OriginatorUserAccountName_SHA256">
    <vt:lpwstr>09C7E65F92F15168BB9488F85234214AE73EB2FBBCEEC65573E4991209D478ED</vt:lpwstr>
  </property>
  <property fmtid="{D5CDD505-2E9C-101B-9397-08002B2CF9AE}" pid="27" name="PM_OriginatorDomainName_SHA256">
    <vt:lpwstr>E83A2A66C4061446A7E3732E8D44762184B6B377D962B96C83DC624302585857</vt:lpwstr>
  </property>
  <property fmtid="{D5CDD505-2E9C-101B-9397-08002B2CF9AE}" pid="28" name="PM_MinimumSecurityClassification">
    <vt:lpwstr/>
  </property>
  <property fmtid="{D5CDD505-2E9C-101B-9397-08002B2CF9AE}" pid="29" name="PM_SecurityClassification_Prev">
    <vt:lpwstr>UNOFFICIAL</vt:lpwstr>
  </property>
  <property fmtid="{D5CDD505-2E9C-101B-9397-08002B2CF9AE}" pid="30" name="PM_Qualifier_Prev">
    <vt:lpwstr/>
  </property>
  <property fmtid="{D5CDD505-2E9C-101B-9397-08002B2CF9AE}" pid="31" name="GrammarlyDocumentId">
    <vt:lpwstr>7cf49a2b79cf1724b2f0a768dfc9cb3923eb5b6fe02ee17c813fcc08f85f4c77</vt:lpwstr>
  </property>
</Properties>
</file>